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0CD89C2E" w14:textId="77777777" w:rsidR="00AE435B" w:rsidRPr="00191427" w:rsidRDefault="00AE435B" w:rsidP="00AE435B">
      <w:pPr>
        <w:pStyle w:val="Heading1"/>
      </w:pPr>
      <w:bookmarkStart w:id="0" w:name="_Hlk19619708"/>
      <w:r>
        <w:t>Kiswahili (Swahili)</w:t>
      </w:r>
    </w:p>
    <w:p w14:paraId="1F6A2E6C" w14:textId="34A58F76" w:rsidR="008D17DE" w:rsidRDefault="009D4427" w:rsidP="00BF66C5">
      <w:r>
        <w:t xml:space="preserve">Updated </w:t>
      </w:r>
      <w:r w:rsidR="004771E1">
        <w:t>April 1, 202</w:t>
      </w:r>
      <w:r w:rsidR="00D83912">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lang w:eastAsia="ko-KR"/>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3E5EA7AB"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D83912">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050"/>
        <w:gridCol w:w="4302"/>
      </w:tblGrid>
      <w:tr w:rsidR="00C13054" w14:paraId="56750104" w14:textId="77777777" w:rsidTr="00AE435B">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050"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302"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AE435B" w:rsidRPr="009D4427" w14:paraId="5A83D637" w14:textId="77777777" w:rsidTr="00D83912">
        <w:trPr>
          <w:trHeight w:val="3239"/>
        </w:trPr>
        <w:tc>
          <w:tcPr>
            <w:tcW w:w="2160" w:type="dxa"/>
            <w:shd w:val="clear" w:color="auto" w:fill="CCEB96" w:themeFill="accent2"/>
          </w:tcPr>
          <w:p w14:paraId="61B4EAAA" w14:textId="77777777" w:rsidR="00AE435B" w:rsidRPr="00E77C9E" w:rsidRDefault="00AE435B" w:rsidP="00AE435B">
            <w:pPr>
              <w:pStyle w:val="Category"/>
              <w:keepNext w:val="0"/>
              <w:numPr>
                <w:ilvl w:val="0"/>
                <w:numId w:val="12"/>
              </w:numPr>
            </w:pPr>
            <w:r w:rsidRPr="006D4E0C">
              <w:rPr>
                <w:color w:val="auto"/>
                <w:szCs w:val="28"/>
              </w:rPr>
              <w:t>Share new information about changing rules</w:t>
            </w:r>
          </w:p>
        </w:tc>
        <w:tc>
          <w:tcPr>
            <w:tcW w:w="4050" w:type="dxa"/>
            <w:shd w:val="clear" w:color="auto" w:fill="EAF7D5" w:themeFill="accent2" w:themeFillTint="66"/>
          </w:tcPr>
          <w:p w14:paraId="0A5A1047" w14:textId="0C58E6C8" w:rsidR="00AE435B" w:rsidRPr="00D83912" w:rsidRDefault="00AE435B" w:rsidP="00D83912">
            <w:pPr>
              <w:pStyle w:val="ListParagraph"/>
              <w:ind w:left="342" w:hanging="273"/>
              <w:rPr>
                <w:lang w:val="sw-KE"/>
              </w:rPr>
            </w:pPr>
            <w:r w:rsidRPr="00AE435B">
              <w:rPr>
                <w:lang w:val="sw-KE"/>
              </w:rPr>
              <w:t>Masharti yamebadilika. Mpango wa bima ya afya wa Missouri Medicaid umepanuliwa ili kujumuisha watu zaidi. Kwa sasa, watu zaidi wanaweza kupata bima ya afya bila malipo au kwa gharama ya chini kupitia mpango wa Missouri Medicaid (unaojulikana kama MO HealthNet).</w:t>
            </w:r>
          </w:p>
        </w:tc>
        <w:tc>
          <w:tcPr>
            <w:tcW w:w="4302" w:type="dxa"/>
            <w:shd w:val="clear" w:color="auto" w:fill="EAF7D5" w:themeFill="accent2" w:themeFillTint="66"/>
          </w:tcPr>
          <w:p w14:paraId="33944766" w14:textId="57884560" w:rsidR="00AE435B" w:rsidRPr="00AE435B" w:rsidRDefault="00AE435B" w:rsidP="00AE435B">
            <w:pPr>
              <w:pStyle w:val="ListParagraph"/>
              <w:ind w:left="342" w:hanging="273"/>
              <w:rPr>
                <w:lang w:val="sw-KE"/>
              </w:rPr>
            </w:pPr>
            <w:r w:rsidRPr="00AE435B">
              <w:rPr>
                <w:lang w:val="sw-KE"/>
              </w:rPr>
              <w:t>Kwa mara ya kwanza, watu zaidi wanaweza kupata bima ya afya bila malipo au kwa gharama ya chini kupitia MO HealthNet. Mpango huu unajumuisha wazazi ambao hawajawahi kupokea bima hii, pamoja na watu wazima wasio na watoto.</w:t>
            </w:r>
          </w:p>
        </w:tc>
      </w:tr>
      <w:tr w:rsidR="00AE435B" w:rsidRPr="009D4427" w14:paraId="7552E87D" w14:textId="77777777" w:rsidTr="00AE435B">
        <w:trPr>
          <w:cantSplit/>
        </w:trPr>
        <w:tc>
          <w:tcPr>
            <w:tcW w:w="2160" w:type="dxa"/>
            <w:shd w:val="clear" w:color="auto" w:fill="FFF07D" w:themeFill="accent3"/>
          </w:tcPr>
          <w:p w14:paraId="0EBDE4BC" w14:textId="73B1CFB9" w:rsidR="00AE435B" w:rsidRDefault="00AE435B" w:rsidP="00AE435B">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050" w:type="dxa"/>
            <w:shd w:val="clear" w:color="auto" w:fill="FFF8CB" w:themeFill="accent3" w:themeFillTint="66"/>
          </w:tcPr>
          <w:p w14:paraId="52902CDD" w14:textId="77777777" w:rsidR="00AE435B" w:rsidRPr="00AE435B" w:rsidRDefault="00AE435B" w:rsidP="00AE435B">
            <w:pPr>
              <w:pStyle w:val="ListParagraph"/>
              <w:ind w:left="342" w:hanging="273"/>
              <w:rPr>
                <w:lang w:val="sw-KE"/>
              </w:rPr>
            </w:pPr>
            <w:r w:rsidRPr="00AE435B">
              <w:rPr>
                <w:lang w:val="sw-KE"/>
              </w:rPr>
              <w:t>Utoaji bima ya afya bila malipo au kwa gharama ya chini kupitia MO HealthNet unawezesha watu kupokea huduma za afya kwa urahisi. Ukiwa na bima, hutatiziki kushughulikia afya yako na kutunza familia yako. Unaweza kupata huduma za afya unazohitaji bila kufilisika kutokana na gharama za matibabu.</w:t>
            </w:r>
          </w:p>
          <w:p w14:paraId="6A27C8FF" w14:textId="0015EECF" w:rsidR="00AE435B" w:rsidRPr="00AE435B" w:rsidRDefault="00AE435B" w:rsidP="00AE435B">
            <w:pPr>
              <w:pStyle w:val="ListParagraph"/>
              <w:ind w:left="342" w:hanging="273"/>
              <w:rPr>
                <w:lang w:val="sw-KE"/>
              </w:rPr>
            </w:pPr>
            <w:r w:rsidRPr="00AE435B">
              <w:rPr>
                <w:lang w:val="sw-KE"/>
              </w:rPr>
              <w:t>Hata ikiwa ulijaribu kupata bima ya Medicaid hapo awali na hukufaulu, angalia tena. Masharti yamebadilika na huenda ukapata bima ya Medicaid kupitia MO HealthNet.</w:t>
            </w:r>
          </w:p>
        </w:tc>
        <w:tc>
          <w:tcPr>
            <w:tcW w:w="4302" w:type="dxa"/>
            <w:shd w:val="clear" w:color="auto" w:fill="FFF8CB" w:themeFill="accent3" w:themeFillTint="66"/>
          </w:tcPr>
          <w:p w14:paraId="5A5B22CD" w14:textId="4AA57BC3" w:rsidR="00AE435B" w:rsidRPr="00AE435B" w:rsidRDefault="00AE435B" w:rsidP="00AE435B">
            <w:pPr>
              <w:pStyle w:val="ListParagraph"/>
              <w:ind w:left="342" w:hanging="273"/>
              <w:rPr>
                <w:lang w:val="sw-KE"/>
              </w:rPr>
            </w:pPr>
            <w:r w:rsidRPr="00AE435B">
              <w:rPr>
                <w:lang w:val="sw-KE"/>
              </w:rPr>
              <w:t>Ukiwa na bima ya afya kupitia MO HealthNet, unaweza kupata huduma nyingi za matibabu bila malipo. Hii inajumuisha uchunguzi wa saratani, uchunguzi wa kimatibabu, na chanjo za mara kwa mara.</w:t>
            </w:r>
          </w:p>
        </w:tc>
      </w:tr>
      <w:tr w:rsidR="00AE435B" w14:paraId="0DA1286B" w14:textId="77777777" w:rsidTr="00AE435B">
        <w:trPr>
          <w:cantSplit/>
        </w:trPr>
        <w:tc>
          <w:tcPr>
            <w:tcW w:w="2160" w:type="dxa"/>
            <w:shd w:val="clear" w:color="auto" w:fill="F7B27A" w:themeFill="accent5" w:themeFillTint="99"/>
          </w:tcPr>
          <w:p w14:paraId="08ADF155" w14:textId="63AA39DE" w:rsidR="00AE435B" w:rsidRPr="006D4E0C" w:rsidRDefault="00AE435B" w:rsidP="00AE435B">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050" w:type="dxa"/>
            <w:shd w:val="clear" w:color="auto" w:fill="FCE5D2" w:themeFill="accent5" w:themeFillTint="33"/>
          </w:tcPr>
          <w:p w14:paraId="46E8EA16" w14:textId="77777777" w:rsidR="00AE435B" w:rsidRPr="00AE435B" w:rsidRDefault="00AE435B" w:rsidP="00AE435B">
            <w:pPr>
              <w:pStyle w:val="ListParagraph"/>
              <w:ind w:left="342" w:hanging="273"/>
              <w:rPr>
                <w:lang w:val="sw-KE"/>
              </w:rPr>
            </w:pPr>
            <w:r w:rsidRPr="00AE435B">
              <w:rPr>
                <w:lang w:val="sw-KE"/>
              </w:rPr>
              <w:t>Ukiwa na bima ya afya kupitia MO HealthNet, unaweza kupata huduma unayohitaji wakati unapoihitaji. MO HealthNet inashughulikia miadi ya kwenda kumwona daktari, dawa unazopendekezewa na mengine mengi.</w:t>
            </w:r>
          </w:p>
          <w:p w14:paraId="7069305F" w14:textId="77777777" w:rsidR="00AE435B" w:rsidRPr="00AE435B" w:rsidRDefault="00AE435B" w:rsidP="00AE435B">
            <w:pPr>
              <w:pStyle w:val="ListParagraph"/>
              <w:ind w:left="342" w:hanging="273"/>
              <w:rPr>
                <w:lang w:val="sw-KE"/>
              </w:rPr>
            </w:pPr>
            <w:r w:rsidRPr="00AE435B">
              <w:rPr>
                <w:lang w:val="sw-KE"/>
              </w:rPr>
              <w:t>Bima ya afya kupitia MO HealthNet inakuwezesha kupokea huduma muhimu za afya ili kukusaidia kuimarisha afya yako, kuanzia huduma za afya ya kiakili hadi matibabu ya meno na mengine mengi.</w:t>
            </w:r>
          </w:p>
          <w:p w14:paraId="07FBAB8E" w14:textId="0E719950" w:rsidR="00AE435B" w:rsidRPr="00AE435B" w:rsidRDefault="00AE435B" w:rsidP="00AE435B">
            <w:pPr>
              <w:pStyle w:val="ListParagraph"/>
              <w:ind w:left="342" w:hanging="273"/>
              <w:rPr>
                <w:lang w:val="sw-KE"/>
              </w:rPr>
            </w:pPr>
            <w:r w:rsidRPr="00AE435B">
              <w:rPr>
                <w:lang w:val="sw-KE"/>
              </w:rPr>
              <w:t>Ajali hutokea. Ukiwa na bima ya afya kupitia MO HealthNet, utakuwa umejiandaa kwa yasiyotarajiwa na hutakuwa na wasiwasi wa kukopa madeni ili kulipia gharama kubwa za matibabu.</w:t>
            </w:r>
          </w:p>
        </w:tc>
        <w:tc>
          <w:tcPr>
            <w:tcW w:w="4302" w:type="dxa"/>
            <w:shd w:val="clear" w:color="auto" w:fill="FCE5D2" w:themeFill="accent5" w:themeFillTint="33"/>
          </w:tcPr>
          <w:p w14:paraId="77E421DF" w14:textId="77777777" w:rsidR="00AE435B" w:rsidRPr="00AE435B" w:rsidRDefault="00AE435B" w:rsidP="00AE435B">
            <w:pPr>
              <w:pStyle w:val="ListParagraph"/>
              <w:ind w:left="342" w:hanging="273"/>
              <w:rPr>
                <w:lang w:val="sw-KE"/>
              </w:rPr>
            </w:pPr>
            <w:r w:rsidRPr="00AE435B">
              <w:rPr>
                <w:lang w:val="sw-KE"/>
              </w:rPr>
              <w:t>Je, una wasiwasi kuhusu afya yako? Je, muda mrefu umepita tangu ulipomwona daktari? Ukiwa na bima ya afya, unaweza kujitunza mwenyewe pamoja na familia yako.</w:t>
            </w:r>
          </w:p>
          <w:p w14:paraId="05F46EA9" w14:textId="77777777" w:rsidR="00AE435B" w:rsidRPr="00AE435B" w:rsidRDefault="00AE435B" w:rsidP="00AE435B">
            <w:pPr>
              <w:pStyle w:val="ListParagraph"/>
              <w:ind w:left="342" w:hanging="273"/>
              <w:rPr>
                <w:lang w:val="sw-KE"/>
              </w:rPr>
            </w:pPr>
            <w:r w:rsidRPr="00AE435B">
              <w:rPr>
                <w:lang w:val="sw-KE"/>
              </w:rPr>
              <w:t>Bima ya afya kupitia MO HealthNet inakuwezesha kuwasiliana na wataalamu wa huduma za afya ukiwa nyumbani. Hivi sasa, unaweza kushughulikiwa na madaktari mbalimbali kupitia kufanya vikao nao mtandaoni.</w:t>
            </w:r>
          </w:p>
          <w:p w14:paraId="0D460C9C" w14:textId="77777777" w:rsidR="00AE435B" w:rsidRPr="00AE435B" w:rsidRDefault="00AE435B" w:rsidP="00AE435B">
            <w:pPr>
              <w:pStyle w:val="ListParagraph"/>
              <w:ind w:left="342" w:hanging="273"/>
              <w:rPr>
                <w:lang w:val="sw-KE"/>
              </w:rPr>
            </w:pPr>
            <w:r w:rsidRPr="00AE435B">
              <w:rPr>
                <w:lang w:val="sw-KE"/>
              </w:rPr>
              <w:t>Ikiwa wewe na familia yako mnategemea mapato ya kila mwezi ili kujikidhi kimaisha, usiwe na wasiwasi kuhusu gharama za huduma ya afya. Bima ya afya kupitia MO HealthNet inakulinda wewe na unaowapenda.</w:t>
            </w:r>
          </w:p>
          <w:p w14:paraId="535E6D86" w14:textId="77777777" w:rsidR="00AE435B" w:rsidRPr="00AE435B" w:rsidRDefault="00AE435B" w:rsidP="00AE435B">
            <w:pPr>
              <w:pStyle w:val="ListParagraph"/>
              <w:ind w:left="342" w:hanging="273"/>
              <w:rPr>
                <w:lang w:val="sw-KE"/>
              </w:rPr>
            </w:pPr>
            <w:r w:rsidRPr="00AE435B">
              <w:rPr>
                <w:lang w:val="sw-KE"/>
              </w:rPr>
              <w:t>Ukiugua au ukijeruhiwa, cha muhimu zaidi ni kupata nafuu wala sio jinsi utakavyolipia huduma ya afya. Ukiwa na bima ya afya kupitia MO HealthNet, utapata huduma unayohitaji bila wasiwasi wa kukopa madeni.</w:t>
            </w:r>
          </w:p>
          <w:p w14:paraId="26F7DB34" w14:textId="3F969AE2" w:rsidR="00AE435B" w:rsidRPr="00D83912" w:rsidRDefault="00AE435B" w:rsidP="00D83912">
            <w:pPr>
              <w:pStyle w:val="ListParagraph"/>
              <w:ind w:left="342" w:hanging="273"/>
              <w:rPr>
                <w:lang w:val="sw-KE"/>
              </w:rPr>
            </w:pPr>
            <w:r w:rsidRPr="00AE435B">
              <w:rPr>
                <w:lang w:val="sw-KE"/>
              </w:rPr>
              <w:t>Ajali inapotokea au unapovunjika mfupa, huenda ikagharimu kiasi kikubwa cha pesa kulipia safari za kwenda kwenye chumba cha dharura na kulipia huduma za matibabu. Ukiwa na bima ya afya kupitia MO HealthNet, utakuwa umejiandaa kwa yasiyotarajiwa</w:t>
            </w:r>
            <w:r w:rsidR="00D83912">
              <w:rPr>
                <w:lang w:val="sw-KE"/>
              </w:rPr>
              <w:t>.</w:t>
            </w:r>
          </w:p>
        </w:tc>
      </w:tr>
      <w:tr w:rsidR="00AE435B" w:rsidRPr="009D4427" w14:paraId="2B2FA3E1" w14:textId="77777777" w:rsidTr="00AE435B">
        <w:trPr>
          <w:cantSplit/>
        </w:trPr>
        <w:tc>
          <w:tcPr>
            <w:tcW w:w="2160" w:type="dxa"/>
            <w:shd w:val="clear" w:color="auto" w:fill="F197A9" w:themeFill="accent4" w:themeFillTint="99"/>
          </w:tcPr>
          <w:p w14:paraId="7A985221" w14:textId="7BEA0FD7" w:rsidR="00AE435B" w:rsidRPr="006D4E0C" w:rsidRDefault="00AE435B" w:rsidP="00AE435B">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050" w:type="dxa"/>
            <w:shd w:val="clear" w:color="auto" w:fill="FADCE2" w:themeFill="accent4" w:themeFillTint="33"/>
          </w:tcPr>
          <w:p w14:paraId="7FDB07C8" w14:textId="6F4FB5CE" w:rsidR="00AE435B" w:rsidRPr="00AE435B" w:rsidRDefault="00AE435B" w:rsidP="00AE435B">
            <w:pPr>
              <w:pStyle w:val="ListParagraph"/>
              <w:ind w:left="342" w:hanging="273"/>
              <w:rPr>
                <w:lang w:val="sw-KE"/>
              </w:rPr>
            </w:pPr>
            <w:r w:rsidRPr="00AE435B">
              <w:rPr>
                <w:lang w:val="sw-KE"/>
              </w:rPr>
              <w:t>Unaweza kupata usaidizi bila malipo ili ufahamu bima za afya unazoweza kuchagua, ikijumuisha Medicaid kupitia MO HealthNet. Piga simu kwa nambari 1-800-466-3213 au tembelea CoverMissouri.org/help ili uwasiliane na mtaalamu aliye karibu nawe.</w:t>
            </w:r>
          </w:p>
        </w:tc>
        <w:tc>
          <w:tcPr>
            <w:tcW w:w="4302" w:type="dxa"/>
            <w:shd w:val="clear" w:color="auto" w:fill="FADCE2" w:themeFill="accent4" w:themeFillTint="33"/>
          </w:tcPr>
          <w:p w14:paraId="4312AD8E" w14:textId="77777777" w:rsidR="00AE435B" w:rsidRPr="00AE435B" w:rsidRDefault="00AE435B" w:rsidP="00AE435B">
            <w:pPr>
              <w:pStyle w:val="ListParagraph"/>
              <w:ind w:left="342" w:hanging="273"/>
              <w:rPr>
                <w:lang w:val="sw-KE"/>
              </w:rPr>
            </w:pPr>
            <w:r w:rsidRPr="00AE435B">
              <w:rPr>
                <w:lang w:val="sw-KE"/>
              </w:rPr>
              <w:t>Je, ungependa kuona ikiwa sasa unaweza kupata bima ya Medicaid kupitia MO HealthNet kufuatia kubadilika kwa masharti? Unaweza kupata usaidizi. Ili upate usaidizi kutoka kwa mtaalamu bila malipo, piga simu kwa nambari 1-800-466-3213 au nenda kwenye CoverMissouri.org/help.</w:t>
            </w:r>
          </w:p>
          <w:p w14:paraId="4C210E55" w14:textId="3E98EE83" w:rsidR="00AE435B" w:rsidRPr="00AE435B" w:rsidRDefault="00AE435B" w:rsidP="00AE435B">
            <w:pPr>
              <w:pStyle w:val="ListParagraph"/>
              <w:ind w:left="342" w:hanging="273"/>
              <w:rPr>
                <w:lang w:val="sw-KE"/>
              </w:rPr>
            </w:pPr>
            <w:r w:rsidRPr="00AE435B">
              <w:rPr>
                <w:lang w:val="sw-KE"/>
              </w:rPr>
              <w:t>Wahudumu wa Cover Missouri wanaweza kukusaidia kubaini ikiwa unastahiki kupokea bima ya Medicaid chini ya masharti mapya na kukusaidia kufahamu bima za afya unazoweza kuchagua. Tembelea CoverMissouri.org/help au piga simu kwa nambari 1-800-466-3213 ili uweke miadi na mtaalamu mtandaoni au miadi ya ana kwa ana bila malipo.</w:t>
            </w:r>
          </w:p>
        </w:tc>
      </w:tr>
    </w:tbl>
    <w:p w14:paraId="584059C5" w14:textId="39746E22" w:rsidR="00134167" w:rsidRPr="009D4427" w:rsidRDefault="00134167">
      <w:pPr>
        <w:spacing w:after="0"/>
        <w:rPr>
          <w:lang w:val="sw-KE"/>
        </w:rPr>
      </w:pPr>
    </w:p>
    <w:p w14:paraId="7A84A108" w14:textId="5AC1081A" w:rsidR="00134167" w:rsidRPr="009D4427" w:rsidRDefault="00134167">
      <w:pPr>
        <w:spacing w:after="0"/>
        <w:rPr>
          <w:lang w:val="sw-KE"/>
        </w:rPr>
      </w:pPr>
    </w:p>
    <w:bookmarkEnd w:id="0"/>
    <w:p w14:paraId="27A06120" w14:textId="77777777" w:rsidR="00B32858" w:rsidRPr="009D4427" w:rsidRDefault="00B32858">
      <w:pPr>
        <w:spacing w:after="0"/>
        <w:rPr>
          <w:rFonts w:asciiTheme="majorHAnsi" w:eastAsiaTheme="majorEastAsia" w:hAnsiTheme="majorHAnsi" w:cstheme="majorBidi"/>
          <w:color w:val="35175E" w:themeColor="accent1" w:themeShade="80"/>
          <w:sz w:val="32"/>
          <w:szCs w:val="32"/>
          <w:lang w:val="sw-KE"/>
        </w:rPr>
      </w:pPr>
      <w:r w:rsidRPr="009D4427">
        <w:rPr>
          <w:lang w:val="sw-KE"/>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pregnancy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5E3E" w14:textId="77777777" w:rsidR="003A7C51" w:rsidRDefault="003A7C51" w:rsidP="009E6363">
      <w:pPr>
        <w:spacing w:after="0"/>
      </w:pPr>
      <w:r>
        <w:separator/>
      </w:r>
    </w:p>
    <w:p w14:paraId="1BBB2247" w14:textId="77777777" w:rsidR="003A7C51" w:rsidRDefault="003A7C51"/>
  </w:endnote>
  <w:endnote w:type="continuationSeparator" w:id="0">
    <w:p w14:paraId="39044D64" w14:textId="77777777" w:rsidR="003A7C51" w:rsidRDefault="003A7C51" w:rsidP="009E6363">
      <w:pPr>
        <w:spacing w:after="0"/>
      </w:pPr>
      <w:r>
        <w:continuationSeparator/>
      </w:r>
    </w:p>
    <w:p w14:paraId="7519BB15" w14:textId="77777777" w:rsidR="003A7C51" w:rsidRDefault="003A7C51"/>
  </w:endnote>
  <w:endnote w:type="continuationNotice" w:id="1">
    <w:p w14:paraId="4B691A16" w14:textId="77777777" w:rsidR="003A7C51" w:rsidRDefault="003A7C51">
      <w:pPr>
        <w:spacing w:after="0"/>
      </w:pPr>
    </w:p>
    <w:p w14:paraId="1A1AA8EB" w14:textId="77777777" w:rsidR="003A7C51" w:rsidRDefault="003A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lang w:eastAsia="ko-KR"/>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AE435B">
          <w:rPr>
            <w:b/>
            <w:noProof/>
            <w:color w:val="35175E" w:themeColor="accent1" w:themeShade="80"/>
            <w:sz w:val="16"/>
            <w:szCs w:val="20"/>
          </w:rPr>
          <w:t>5</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D4A7" w14:textId="77777777" w:rsidR="003A7C51" w:rsidRDefault="003A7C51" w:rsidP="009E6363">
      <w:pPr>
        <w:spacing w:after="0"/>
      </w:pPr>
      <w:r>
        <w:separator/>
      </w:r>
    </w:p>
    <w:p w14:paraId="317CBDFF" w14:textId="77777777" w:rsidR="003A7C51" w:rsidRDefault="003A7C51"/>
  </w:footnote>
  <w:footnote w:type="continuationSeparator" w:id="0">
    <w:p w14:paraId="03355526" w14:textId="77777777" w:rsidR="003A7C51" w:rsidRDefault="003A7C51" w:rsidP="009E6363">
      <w:pPr>
        <w:spacing w:after="0"/>
      </w:pPr>
      <w:r>
        <w:continuationSeparator/>
      </w:r>
    </w:p>
    <w:p w14:paraId="301039EB" w14:textId="77777777" w:rsidR="003A7C51" w:rsidRDefault="003A7C51"/>
  </w:footnote>
  <w:footnote w:type="continuationNotice" w:id="1">
    <w:p w14:paraId="5AD4BA73" w14:textId="77777777" w:rsidR="003A7C51" w:rsidRDefault="003A7C51">
      <w:pPr>
        <w:spacing w:after="0"/>
      </w:pPr>
    </w:p>
    <w:p w14:paraId="2E01A1EC" w14:textId="77777777" w:rsidR="003A7C51" w:rsidRDefault="003A7C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9992283">
    <w:abstractNumId w:val="1"/>
  </w:num>
  <w:num w:numId="2" w16cid:durableId="463081599">
    <w:abstractNumId w:val="4"/>
  </w:num>
  <w:num w:numId="3" w16cid:durableId="1655714937">
    <w:abstractNumId w:val="12"/>
  </w:num>
  <w:num w:numId="4" w16cid:durableId="1729719490">
    <w:abstractNumId w:val="11"/>
  </w:num>
  <w:num w:numId="5" w16cid:durableId="1059281971">
    <w:abstractNumId w:val="8"/>
  </w:num>
  <w:num w:numId="6" w16cid:durableId="328295839">
    <w:abstractNumId w:val="2"/>
  </w:num>
  <w:num w:numId="7" w16cid:durableId="744495343">
    <w:abstractNumId w:val="3"/>
  </w:num>
  <w:num w:numId="8" w16cid:durableId="704909382">
    <w:abstractNumId w:val="7"/>
  </w:num>
  <w:num w:numId="9" w16cid:durableId="1198002496">
    <w:abstractNumId w:val="10"/>
  </w:num>
  <w:num w:numId="10" w16cid:durableId="454174194">
    <w:abstractNumId w:val="6"/>
  </w:num>
  <w:num w:numId="11" w16cid:durableId="385491289">
    <w:abstractNumId w:val="0"/>
  </w:num>
  <w:num w:numId="12" w16cid:durableId="1759671321">
    <w:abstractNumId w:val="9"/>
  </w:num>
  <w:num w:numId="13" w16cid:durableId="1705330576">
    <w:abstractNumId w:val="5"/>
  </w:num>
  <w:num w:numId="14" w16cid:durableId="1817992920">
    <w:abstractNumId w:val="7"/>
  </w:num>
  <w:num w:numId="15" w16cid:durableId="1346902120">
    <w:abstractNumId w:val="7"/>
  </w:num>
  <w:num w:numId="16" w16cid:durableId="1745449093">
    <w:abstractNumId w:val="7"/>
  </w:num>
  <w:num w:numId="17" w16cid:durableId="553005307">
    <w:abstractNumId w:val="7"/>
  </w:num>
  <w:num w:numId="18" w16cid:durableId="680009699">
    <w:abstractNumId w:val="7"/>
  </w:num>
  <w:num w:numId="19" w16cid:durableId="134757228">
    <w:abstractNumId w:val="7"/>
  </w:num>
  <w:num w:numId="20" w16cid:durableId="800348452">
    <w:abstractNumId w:val="7"/>
  </w:num>
  <w:num w:numId="21" w16cid:durableId="1187449268">
    <w:abstractNumId w:val="7"/>
  </w:num>
  <w:num w:numId="22" w16cid:durableId="989283762">
    <w:abstractNumId w:val="7"/>
  </w:num>
  <w:num w:numId="23" w16cid:durableId="764227772">
    <w:abstractNumId w:val="7"/>
  </w:num>
  <w:num w:numId="24" w16cid:durableId="598607839">
    <w:abstractNumId w:val="7"/>
  </w:num>
  <w:num w:numId="25" w16cid:durableId="962611285">
    <w:abstractNumId w:val="7"/>
  </w:num>
  <w:num w:numId="26" w16cid:durableId="1786146841">
    <w:abstractNumId w:val="7"/>
  </w:num>
  <w:num w:numId="27" w16cid:durableId="842865330">
    <w:abstractNumId w:val="7"/>
  </w:num>
  <w:num w:numId="28" w16cid:durableId="984310908">
    <w:abstractNumId w:val="7"/>
  </w:num>
  <w:num w:numId="29" w16cid:durableId="1035732361">
    <w:abstractNumId w:val="7"/>
  </w:num>
  <w:num w:numId="30" w16cid:durableId="871653567">
    <w:abstractNumId w:val="7"/>
  </w:num>
  <w:num w:numId="31" w16cid:durableId="609557464">
    <w:abstractNumId w:val="7"/>
  </w:num>
  <w:num w:numId="32" w16cid:durableId="829373225">
    <w:abstractNumId w:val="7"/>
  </w:num>
  <w:num w:numId="33" w16cid:durableId="1692418062">
    <w:abstractNumId w:val="7"/>
  </w:num>
  <w:num w:numId="34" w16cid:durableId="650986821">
    <w:abstractNumId w:val="7"/>
  </w:num>
  <w:num w:numId="35" w16cid:durableId="317541984">
    <w:abstractNumId w:val="7"/>
  </w:num>
  <w:num w:numId="36" w16cid:durableId="1016888937">
    <w:abstractNumId w:val="7"/>
  </w:num>
  <w:num w:numId="37" w16cid:durableId="1867408472">
    <w:abstractNumId w:val="7"/>
  </w:num>
  <w:num w:numId="38" w16cid:durableId="2049333051">
    <w:abstractNumId w:val="7"/>
  </w:num>
  <w:num w:numId="39" w16cid:durableId="103960747">
    <w:abstractNumId w:val="7"/>
  </w:num>
  <w:num w:numId="40" w16cid:durableId="1882748133">
    <w:abstractNumId w:val="7"/>
  </w:num>
  <w:num w:numId="41" w16cid:durableId="1684746333">
    <w:abstractNumId w:val="7"/>
  </w:num>
  <w:num w:numId="42" w16cid:durableId="1305769935">
    <w:abstractNumId w:val="7"/>
  </w:num>
  <w:num w:numId="43" w16cid:durableId="59980640">
    <w:abstractNumId w:val="7"/>
  </w:num>
  <w:num w:numId="44" w16cid:durableId="1144391181">
    <w:abstractNumId w:val="7"/>
  </w:num>
  <w:num w:numId="45" w16cid:durableId="857308044">
    <w:abstractNumId w:val="7"/>
  </w:num>
  <w:num w:numId="46" w16cid:durableId="1152911904">
    <w:abstractNumId w:val="7"/>
  </w:num>
  <w:num w:numId="47" w16cid:durableId="505444653">
    <w:abstractNumId w:val="7"/>
  </w:num>
  <w:num w:numId="48" w16cid:durableId="204285307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A7C51"/>
    <w:rsid w:val="003C1102"/>
    <w:rsid w:val="003C3EB8"/>
    <w:rsid w:val="003C4649"/>
    <w:rsid w:val="003C6D15"/>
    <w:rsid w:val="003D0D2D"/>
    <w:rsid w:val="003D37E6"/>
    <w:rsid w:val="003D37F0"/>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771E1"/>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9780C"/>
    <w:rsid w:val="006B077A"/>
    <w:rsid w:val="006B14E3"/>
    <w:rsid w:val="006B701A"/>
    <w:rsid w:val="006C01EB"/>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B0A"/>
    <w:rsid w:val="009B0266"/>
    <w:rsid w:val="009C04D5"/>
    <w:rsid w:val="009C7778"/>
    <w:rsid w:val="009D4427"/>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435B"/>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09"/>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CE646E"/>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3912"/>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2F07-5319-438B-97C8-8B9CFC8A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6662</Characters>
  <Application>Microsoft Office Word</Application>
  <DocSecurity>0</DocSecurity>
  <Lines>246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2021-08-11T14:35:00Z</dcterms:created>
  <dcterms:modified xsi:type="dcterms:W3CDTF">2023-04-04T14:53:00Z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c4a747fbd27fc3fdc9b212d60abe501f2b315d2416ae3f9a636d8d35fe598bd5</vt:lpwstr>
  </property>
</Properties>
</file>