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5B0E" w14:textId="389A2A40" w:rsidR="00572FD2" w:rsidRPr="00421A87" w:rsidRDefault="00572FD2" w:rsidP="00572FD2">
      <w:pPr>
        <w:pStyle w:val="MediumGrid1-Accent21"/>
        <w:spacing w:line="259" w:lineRule="auto"/>
        <w:ind w:left="0"/>
        <w:rPr>
          <w:b/>
          <w:u w:val="single"/>
        </w:rPr>
      </w:pPr>
      <w:r w:rsidRPr="00421A87">
        <w:rPr>
          <w:b/>
          <w:u w:val="single"/>
        </w:rPr>
        <w:t xml:space="preserve">Overview </w:t>
      </w:r>
    </w:p>
    <w:p w14:paraId="5B83A67B" w14:textId="18EEF29C" w:rsidR="009133D0" w:rsidRDefault="00DE4B2A" w:rsidP="006F5AF0">
      <w:pPr>
        <w:spacing w:after="0" w:line="240" w:lineRule="auto"/>
        <w:rPr>
          <w:rFonts w:cs="Calibri"/>
        </w:rPr>
      </w:pPr>
      <w:r>
        <w:rPr>
          <w:rFonts w:cs="Calibri"/>
        </w:rPr>
        <w:t>Missouri Foundation for Health (“MFH”) defines r</w:t>
      </w:r>
      <w:r w:rsidR="00A55752">
        <w:rPr>
          <w:rFonts w:cs="Calibri"/>
        </w:rPr>
        <w:t xml:space="preserve">egranting </w:t>
      </w:r>
      <w:r w:rsidR="00F315EE" w:rsidRPr="70AC2915">
        <w:rPr>
          <w:rFonts w:cs="Calibri"/>
        </w:rPr>
        <w:t xml:space="preserve">as </w:t>
      </w:r>
      <w:r w:rsidR="00786C61" w:rsidRPr="70AC2915">
        <w:rPr>
          <w:rFonts w:cs="Calibri"/>
        </w:rPr>
        <w:t xml:space="preserve">the act of </w:t>
      </w:r>
      <w:r w:rsidR="000C5A49" w:rsidRPr="70AC2915">
        <w:rPr>
          <w:rFonts w:cs="Calibri"/>
        </w:rPr>
        <w:t>a</w:t>
      </w:r>
      <w:r>
        <w:rPr>
          <w:rFonts w:cs="Calibri"/>
        </w:rPr>
        <w:t>n</w:t>
      </w:r>
      <w:r w:rsidR="00786C61" w:rsidRPr="70AC2915">
        <w:rPr>
          <w:rFonts w:cs="Calibri"/>
        </w:rPr>
        <w:t xml:space="preserve"> </w:t>
      </w:r>
      <w:r w:rsidR="00045A33">
        <w:rPr>
          <w:rFonts w:cs="Calibri"/>
        </w:rPr>
        <w:t>intermediary</w:t>
      </w:r>
      <w:r w:rsidR="000117E5">
        <w:rPr>
          <w:rFonts w:cs="Calibri"/>
        </w:rPr>
        <w:t xml:space="preserve"> (“Partner</w:t>
      </w:r>
      <w:r w:rsidR="0011433D" w:rsidRPr="70AC2915">
        <w:rPr>
          <w:rFonts w:cs="Calibri"/>
        </w:rPr>
        <w:t xml:space="preserve">”) </w:t>
      </w:r>
      <w:r w:rsidR="000C5A49" w:rsidRPr="70AC2915">
        <w:rPr>
          <w:rFonts w:cs="Calibri"/>
        </w:rPr>
        <w:t xml:space="preserve">using </w:t>
      </w:r>
      <w:r w:rsidR="00B91FB8" w:rsidRPr="70AC2915">
        <w:rPr>
          <w:rFonts w:cs="Calibri"/>
        </w:rPr>
        <w:t xml:space="preserve">MFH funds to make </w:t>
      </w:r>
      <w:r w:rsidR="000C5A49" w:rsidRPr="70AC2915">
        <w:rPr>
          <w:rFonts w:cs="Calibri"/>
        </w:rPr>
        <w:t>sub</w:t>
      </w:r>
      <w:r w:rsidR="00B91FB8" w:rsidRPr="70AC2915">
        <w:rPr>
          <w:rFonts w:cs="Calibri"/>
        </w:rPr>
        <w:t xml:space="preserve">grants </w:t>
      </w:r>
      <w:r w:rsidR="00DC6676">
        <w:rPr>
          <w:rFonts w:cs="Calibri"/>
        </w:rPr>
        <w:t xml:space="preserve">to other organizations </w:t>
      </w:r>
      <w:r w:rsidR="00DC6676" w:rsidRPr="70AC2915">
        <w:rPr>
          <w:rFonts w:cs="Calibri"/>
        </w:rPr>
        <w:t>(“Subgrantee</w:t>
      </w:r>
      <w:r w:rsidR="00DC6676">
        <w:rPr>
          <w:rFonts w:cs="Calibri"/>
        </w:rPr>
        <w:t>s</w:t>
      </w:r>
      <w:r w:rsidR="00DC6676" w:rsidRPr="70AC2915">
        <w:rPr>
          <w:rFonts w:cs="Calibri"/>
        </w:rPr>
        <w:t>”)</w:t>
      </w:r>
      <w:r w:rsidR="00DC6676">
        <w:rPr>
          <w:rFonts w:cs="Calibri"/>
        </w:rPr>
        <w:t xml:space="preserve"> </w:t>
      </w:r>
      <w:r w:rsidR="001F3265" w:rsidRPr="70AC2915">
        <w:rPr>
          <w:rFonts w:cs="Calibri"/>
        </w:rPr>
        <w:t>through an application process</w:t>
      </w:r>
      <w:r w:rsidR="0011433D" w:rsidRPr="70AC2915">
        <w:rPr>
          <w:rFonts w:cs="Calibri"/>
        </w:rPr>
        <w:t xml:space="preserve"> </w:t>
      </w:r>
      <w:r w:rsidR="00DC6676">
        <w:rPr>
          <w:rFonts w:cs="Calibri"/>
        </w:rPr>
        <w:t>or other funding mechanism</w:t>
      </w:r>
      <w:r w:rsidR="00B91FB8" w:rsidRPr="70AC2915">
        <w:rPr>
          <w:rFonts w:cs="Calibri"/>
        </w:rPr>
        <w:t xml:space="preserve">. </w:t>
      </w:r>
      <w:r w:rsidR="008422BB" w:rsidRPr="70AC2915">
        <w:rPr>
          <w:rFonts w:cs="Calibri"/>
        </w:rPr>
        <w:t>Regranting does not include providing s</w:t>
      </w:r>
      <w:r w:rsidR="001F3265" w:rsidRPr="70AC2915">
        <w:rPr>
          <w:rFonts w:cs="Calibri"/>
        </w:rPr>
        <w:t xml:space="preserve">tipends </w:t>
      </w:r>
      <w:r w:rsidR="00D07089">
        <w:rPr>
          <w:rFonts w:cs="Calibri"/>
        </w:rPr>
        <w:t xml:space="preserve">or incentives </w:t>
      </w:r>
      <w:r w:rsidR="001F3265" w:rsidRPr="70AC2915">
        <w:rPr>
          <w:rFonts w:cs="Calibri"/>
        </w:rPr>
        <w:t xml:space="preserve">to </w:t>
      </w:r>
      <w:r w:rsidR="008422BB" w:rsidRPr="70AC2915">
        <w:rPr>
          <w:rFonts w:cs="Calibri"/>
        </w:rPr>
        <w:t xml:space="preserve">individuals or organizations </w:t>
      </w:r>
      <w:r w:rsidR="00612E1C" w:rsidRPr="70AC2915">
        <w:rPr>
          <w:rFonts w:cs="Calibri"/>
        </w:rPr>
        <w:t>to participate in a project.</w:t>
      </w:r>
    </w:p>
    <w:p w14:paraId="03AE5B1A" w14:textId="77777777" w:rsidR="009133D0" w:rsidRDefault="009133D0" w:rsidP="006F5AF0">
      <w:pPr>
        <w:spacing w:after="0" w:line="240" w:lineRule="auto"/>
        <w:rPr>
          <w:rFonts w:cs="Calibri"/>
        </w:rPr>
      </w:pPr>
    </w:p>
    <w:p w14:paraId="589AB1F2" w14:textId="33192528" w:rsidR="007606CC" w:rsidRDefault="004620E4" w:rsidP="007606CC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There </w:t>
      </w:r>
      <w:r w:rsidR="00091BC7">
        <w:rPr>
          <w:rFonts w:cs="Calibri"/>
        </w:rPr>
        <w:t>may be instances</w:t>
      </w:r>
      <w:r>
        <w:rPr>
          <w:rFonts w:cs="Calibri"/>
        </w:rPr>
        <w:t xml:space="preserve"> when </w:t>
      </w:r>
      <w:r w:rsidR="00843394">
        <w:rPr>
          <w:rFonts w:cs="Calibri"/>
        </w:rPr>
        <w:t xml:space="preserve">MFH </w:t>
      </w:r>
      <w:r w:rsidR="00456499">
        <w:rPr>
          <w:rFonts w:cs="Calibri"/>
        </w:rPr>
        <w:t xml:space="preserve">partners </w:t>
      </w:r>
      <w:r w:rsidR="00843394">
        <w:rPr>
          <w:rFonts w:cs="Calibri"/>
        </w:rPr>
        <w:t xml:space="preserve">with </w:t>
      </w:r>
      <w:r w:rsidR="00091BC7">
        <w:rPr>
          <w:rFonts w:cs="Calibri"/>
        </w:rPr>
        <w:t>mission and value</w:t>
      </w:r>
      <w:r w:rsidR="00456499">
        <w:rPr>
          <w:rFonts w:cs="Calibri"/>
        </w:rPr>
        <w:t>s</w:t>
      </w:r>
      <w:r w:rsidR="00091BC7">
        <w:rPr>
          <w:rFonts w:cs="Calibri"/>
        </w:rPr>
        <w:t xml:space="preserve">-aligned organizations in order to </w:t>
      </w:r>
      <w:r w:rsidR="00CA442C">
        <w:rPr>
          <w:rFonts w:cs="Calibri"/>
        </w:rPr>
        <w:t xml:space="preserve"> </w:t>
      </w:r>
      <w:r w:rsidR="007606CC">
        <w:rPr>
          <w:rFonts w:cs="Calibri"/>
        </w:rPr>
        <w:t>equitabl</w:t>
      </w:r>
      <w:r w:rsidR="00CA442C">
        <w:rPr>
          <w:rFonts w:cs="Calibri"/>
        </w:rPr>
        <w:t xml:space="preserve">y </w:t>
      </w:r>
      <w:r w:rsidR="007606CC">
        <w:rPr>
          <w:rFonts w:cs="Calibri"/>
        </w:rPr>
        <w:t>distribut</w:t>
      </w:r>
      <w:r w:rsidR="00CA442C">
        <w:rPr>
          <w:rFonts w:cs="Calibri"/>
        </w:rPr>
        <w:t xml:space="preserve">e </w:t>
      </w:r>
      <w:r w:rsidR="007606CC">
        <w:rPr>
          <w:rFonts w:cs="Calibri"/>
        </w:rPr>
        <w:t xml:space="preserve">resources </w:t>
      </w:r>
      <w:r w:rsidR="00091BC7">
        <w:rPr>
          <w:rFonts w:cs="Calibri"/>
        </w:rPr>
        <w:t>within</w:t>
      </w:r>
      <w:r w:rsidR="007606CC">
        <w:rPr>
          <w:rFonts w:cs="Calibri"/>
        </w:rPr>
        <w:t xml:space="preserve"> communities</w:t>
      </w:r>
      <w:r w:rsidR="00456499">
        <w:rPr>
          <w:rFonts w:cs="Calibri"/>
        </w:rPr>
        <w:t xml:space="preserve"> through regranting</w:t>
      </w:r>
      <w:r w:rsidR="007606CC">
        <w:rPr>
          <w:rFonts w:cs="Calibri"/>
        </w:rPr>
        <w:t>.</w:t>
      </w:r>
    </w:p>
    <w:p w14:paraId="41A971A6" w14:textId="77777777" w:rsidR="007606CC" w:rsidRDefault="007606CC" w:rsidP="007606CC">
      <w:pPr>
        <w:spacing w:after="0" w:line="240" w:lineRule="auto"/>
        <w:rPr>
          <w:rFonts w:cs="Calibri"/>
        </w:rPr>
      </w:pPr>
    </w:p>
    <w:p w14:paraId="0B2A1A4A" w14:textId="07A0BC45" w:rsidR="006F5AF0" w:rsidRPr="006F5AF0" w:rsidRDefault="00673E65" w:rsidP="006F5AF0">
      <w:pPr>
        <w:spacing w:after="0" w:line="240" w:lineRule="auto"/>
        <w:rPr>
          <w:b/>
        </w:rPr>
      </w:pPr>
      <w:r>
        <w:rPr>
          <w:rFonts w:cs="Calibri"/>
        </w:rPr>
        <w:t>Partner</w:t>
      </w:r>
      <w:r w:rsidR="009133D0">
        <w:rPr>
          <w:rFonts w:cs="Calibri"/>
        </w:rPr>
        <w:t xml:space="preserve">s </w:t>
      </w:r>
      <w:r w:rsidR="007606CC">
        <w:rPr>
          <w:rFonts w:cs="Calibri"/>
        </w:rPr>
        <w:t xml:space="preserve">regranting MFH funds </w:t>
      </w:r>
      <w:r w:rsidR="009133D0">
        <w:rPr>
          <w:rFonts w:cs="Calibri"/>
        </w:rPr>
        <w:t>are required</w:t>
      </w:r>
      <w:r>
        <w:rPr>
          <w:rFonts w:cs="Calibri"/>
        </w:rPr>
        <w:t xml:space="preserve"> to</w:t>
      </w:r>
      <w:r w:rsidRPr="00421A87">
        <w:rPr>
          <w:rFonts w:cs="Calibri"/>
        </w:rPr>
        <w:t xml:space="preserve"> follow </w:t>
      </w:r>
      <w:r w:rsidR="0012118B">
        <w:rPr>
          <w:rFonts w:cs="Calibri"/>
          <w:color w:val="000000"/>
        </w:rPr>
        <w:t>MFH</w:t>
      </w:r>
      <w:r w:rsidRPr="00421A87">
        <w:rPr>
          <w:rFonts w:cs="Calibri"/>
          <w:color w:val="000000"/>
        </w:rPr>
        <w:t xml:space="preserve"> </w:t>
      </w:r>
      <w:hyperlink r:id="rId12" w:history="1">
        <w:r w:rsidRPr="00572FD2">
          <w:rPr>
            <w:rStyle w:val="Hyperlink"/>
            <w:rFonts w:cs="Calibri"/>
            <w:color w:val="0000FF"/>
          </w:rPr>
          <w:t>funding guidelines</w:t>
        </w:r>
      </w:hyperlink>
      <w:r w:rsidRPr="00421A87">
        <w:rPr>
          <w:rFonts w:cs="Calibri"/>
          <w:color w:val="000000"/>
        </w:rPr>
        <w:t xml:space="preserve"> </w:t>
      </w:r>
      <w:r w:rsidRPr="00421A87">
        <w:rPr>
          <w:rFonts w:cs="Calibri"/>
        </w:rPr>
        <w:t xml:space="preserve">and </w:t>
      </w:r>
      <w:hyperlink w:anchor="COI" w:history="1">
        <w:r w:rsidRPr="00045E42">
          <w:rPr>
            <w:rStyle w:val="Hyperlink"/>
            <w:rFonts w:cs="Calibri"/>
            <w:color w:val="0000FF"/>
          </w:rPr>
          <w:t>Conflicts of Interest Policy</w:t>
        </w:r>
      </w:hyperlink>
      <w:r w:rsidR="00B1243F">
        <w:rPr>
          <w:rFonts w:cs="Calibri"/>
        </w:rPr>
        <w:t xml:space="preserve"> </w:t>
      </w:r>
      <w:r w:rsidR="0022157A">
        <w:rPr>
          <w:rFonts w:cs="Calibri"/>
        </w:rPr>
        <w:t xml:space="preserve">and </w:t>
      </w:r>
      <w:hyperlink w:anchor="Process" w:history="1">
        <w:r w:rsidR="0022157A" w:rsidRPr="00AD4EDB">
          <w:rPr>
            <w:rStyle w:val="Hyperlink"/>
            <w:rFonts w:cs="Calibri"/>
            <w:color w:val="0000FF"/>
          </w:rPr>
          <w:t>provide information</w:t>
        </w:r>
      </w:hyperlink>
      <w:r w:rsidR="0022157A">
        <w:rPr>
          <w:rFonts w:cs="Calibri"/>
        </w:rPr>
        <w:t xml:space="preserve"> about the regranting process. </w:t>
      </w:r>
      <w:r w:rsidR="006F5AF0">
        <w:rPr>
          <w:bCs/>
        </w:rPr>
        <w:t xml:space="preserve">Partner </w:t>
      </w:r>
      <w:r w:rsidR="006F5AF0" w:rsidRPr="00823009">
        <w:t>will retain</w:t>
      </w:r>
      <w:r w:rsidR="006F5AF0">
        <w:t xml:space="preserve"> all records for subgrants for </w:t>
      </w:r>
      <w:r w:rsidR="00533E78">
        <w:t>one year</w:t>
      </w:r>
      <w:r w:rsidR="009028B0">
        <w:t xml:space="preserve"> following completion of the grant period</w:t>
      </w:r>
      <w:r w:rsidR="00533E78">
        <w:t>.</w:t>
      </w:r>
    </w:p>
    <w:p w14:paraId="030839AA" w14:textId="77777777" w:rsidR="00673E65" w:rsidRDefault="00673E65" w:rsidP="00572FD2">
      <w:pPr>
        <w:spacing w:after="0" w:line="259" w:lineRule="auto"/>
        <w:rPr>
          <w:rFonts w:cs="Calibri"/>
        </w:rPr>
      </w:pPr>
    </w:p>
    <w:p w14:paraId="119BEBD4" w14:textId="070D80B1" w:rsidR="00076511" w:rsidRDefault="00076511" w:rsidP="00076511">
      <w:pPr>
        <w:spacing w:after="0" w:line="259" w:lineRule="auto"/>
        <w:rPr>
          <w:b/>
          <w:iCs/>
          <w:u w:val="single"/>
        </w:rPr>
      </w:pPr>
      <w:r>
        <w:rPr>
          <w:b/>
          <w:iCs/>
          <w:u w:val="single"/>
        </w:rPr>
        <w:t xml:space="preserve">Partner </w:t>
      </w:r>
      <w:r w:rsidRPr="009D35D6">
        <w:rPr>
          <w:b/>
          <w:iCs/>
          <w:u w:val="single"/>
        </w:rPr>
        <w:t xml:space="preserve">Regranting </w:t>
      </w:r>
      <w:r>
        <w:rPr>
          <w:b/>
          <w:iCs/>
          <w:u w:val="single"/>
        </w:rPr>
        <w:t>Process</w:t>
      </w:r>
      <w:r w:rsidR="00AF38A4">
        <w:rPr>
          <w:b/>
          <w:iCs/>
          <w:u w:val="single"/>
        </w:rPr>
        <w:t xml:space="preserve"> </w:t>
      </w:r>
      <w:r w:rsidR="00AF38A4" w:rsidRPr="00AF38A4">
        <w:rPr>
          <w:b/>
          <w:i/>
          <w:u w:val="single"/>
        </w:rPr>
        <w:t>(complete and attach to online application)</w:t>
      </w:r>
    </w:p>
    <w:p w14:paraId="25B2D70B" w14:textId="77777777" w:rsidR="00076511" w:rsidRPr="00F45B8A" w:rsidRDefault="00076511" w:rsidP="00076511">
      <w:pPr>
        <w:spacing w:after="0" w:line="259" w:lineRule="auto"/>
        <w:rPr>
          <w:bCs/>
          <w:iCs/>
        </w:rPr>
      </w:pPr>
      <w:r>
        <w:rPr>
          <w:bCs/>
          <w:iCs/>
        </w:rPr>
        <w:t>To better understand the Partner’s experience and process for regranting, please provide the following and attach to the application.</w:t>
      </w:r>
    </w:p>
    <w:p w14:paraId="58F08F38" w14:textId="77777777" w:rsidR="00076511" w:rsidRPr="003E2EEB" w:rsidRDefault="00076511" w:rsidP="00076511">
      <w:pPr>
        <w:numPr>
          <w:ilvl w:val="0"/>
          <w:numId w:val="25"/>
        </w:numPr>
        <w:spacing w:after="0" w:line="259" w:lineRule="auto"/>
        <w:rPr>
          <w:bCs/>
          <w:iCs/>
        </w:rPr>
      </w:pPr>
      <w:r w:rsidRPr="003E2EEB">
        <w:rPr>
          <w:bCs/>
          <w:iCs/>
        </w:rPr>
        <w:t>Organization Name:</w:t>
      </w:r>
    </w:p>
    <w:p w14:paraId="1FB34976" w14:textId="77777777" w:rsidR="00076511" w:rsidRPr="007A75F2" w:rsidRDefault="00076511" w:rsidP="00076511">
      <w:pPr>
        <w:numPr>
          <w:ilvl w:val="0"/>
          <w:numId w:val="25"/>
        </w:numPr>
        <w:spacing w:after="0" w:line="259" w:lineRule="auto"/>
        <w:rPr>
          <w:bCs/>
          <w:iCs/>
        </w:rPr>
      </w:pPr>
      <w:bookmarkStart w:id="0" w:name="Process"/>
      <w:r>
        <w:rPr>
          <w:bCs/>
          <w:iCs/>
        </w:rPr>
        <w:t>Provide a description of</w:t>
      </w:r>
      <w:r w:rsidRPr="007A75F2">
        <w:rPr>
          <w:bCs/>
          <w:iCs/>
        </w:rPr>
        <w:t xml:space="preserve"> the following:</w:t>
      </w:r>
      <w:bookmarkEnd w:id="0"/>
    </w:p>
    <w:p w14:paraId="3C15FFD8" w14:textId="77777777" w:rsidR="00076511" w:rsidRPr="00A450D4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>Purpose of the Partner’s grant program</w:t>
      </w:r>
    </w:p>
    <w:p w14:paraId="3304E25A" w14:textId="77777777" w:rsidR="00076511" w:rsidRPr="00861315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rPr>
          <w:szCs w:val="23"/>
        </w:rPr>
        <w:t xml:space="preserve">Partner’s experience with grantmaking </w:t>
      </w:r>
    </w:p>
    <w:p w14:paraId="5D6C6B37" w14:textId="77777777" w:rsidR="00076511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 xml:space="preserve">In addition to MFH </w:t>
      </w:r>
      <w:hyperlink r:id="rId13" w:history="1">
        <w:r w:rsidRPr="00572FD2">
          <w:rPr>
            <w:rStyle w:val="Hyperlink"/>
            <w:rFonts w:cs="Calibri"/>
            <w:color w:val="0000FF"/>
          </w:rPr>
          <w:t>funding guidelines</w:t>
        </w:r>
      </w:hyperlink>
      <w:r>
        <w:t>, describe any additional guidelines and the process for determining eligibility</w:t>
      </w:r>
    </w:p>
    <w:p w14:paraId="2359F2A0" w14:textId="77777777" w:rsidR="00076511" w:rsidRPr="00FF29EE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>How the program will be promoted</w:t>
      </w:r>
    </w:p>
    <w:p w14:paraId="4CBDAF34" w14:textId="77777777" w:rsidR="00076511" w:rsidRPr="00316CAD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>Process for identifying applicants</w:t>
      </w:r>
    </w:p>
    <w:p w14:paraId="23F737E2" w14:textId="77777777" w:rsidR="00076511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>Selection process</w:t>
      </w:r>
    </w:p>
    <w:p w14:paraId="5E279258" w14:textId="77777777" w:rsidR="00076511" w:rsidRDefault="00076511" w:rsidP="00076511">
      <w:pPr>
        <w:numPr>
          <w:ilvl w:val="0"/>
          <w:numId w:val="24"/>
        </w:numPr>
        <w:spacing w:after="0" w:line="259" w:lineRule="auto"/>
        <w:ind w:left="1260"/>
        <w:rPr>
          <w:szCs w:val="23"/>
        </w:rPr>
      </w:pPr>
      <w:r>
        <w:t>Payment and reporting process</w:t>
      </w:r>
    </w:p>
    <w:p w14:paraId="2F26317B" w14:textId="77777777" w:rsidR="00076511" w:rsidRPr="00F1136E" w:rsidRDefault="00076511" w:rsidP="00076511">
      <w:pPr>
        <w:numPr>
          <w:ilvl w:val="0"/>
          <w:numId w:val="25"/>
        </w:numPr>
        <w:spacing w:after="0" w:line="259" w:lineRule="auto"/>
        <w:rPr>
          <w:szCs w:val="23"/>
        </w:rPr>
      </w:pPr>
      <w:r w:rsidRPr="00F1136E">
        <w:rPr>
          <w:szCs w:val="23"/>
        </w:rPr>
        <w:t>Provide a s</w:t>
      </w:r>
      <w:r>
        <w:t>ample of the award letter/agreement between Partner and Subgrantee.</w:t>
      </w:r>
    </w:p>
    <w:p w14:paraId="68A30E4A" w14:textId="77777777" w:rsidR="00076511" w:rsidRDefault="00076511" w:rsidP="007A75F2">
      <w:pPr>
        <w:spacing w:after="0" w:line="259" w:lineRule="auto"/>
        <w:rPr>
          <w:rFonts w:cs="Calibri"/>
          <w:b/>
          <w:bCs/>
          <w:u w:val="single"/>
        </w:rPr>
      </w:pPr>
    </w:p>
    <w:p w14:paraId="56B0EFA2" w14:textId="07392AC2" w:rsidR="00673E65" w:rsidRPr="00673E65" w:rsidRDefault="00673E65" w:rsidP="007A75F2">
      <w:pPr>
        <w:spacing w:after="0" w:line="259" w:lineRule="auto"/>
        <w:rPr>
          <w:rFonts w:cs="Calibri"/>
          <w:b/>
          <w:bCs/>
          <w:u w:val="single"/>
        </w:rPr>
      </w:pPr>
      <w:r w:rsidRPr="00673E65">
        <w:rPr>
          <w:rFonts w:cs="Calibri"/>
          <w:b/>
          <w:bCs/>
          <w:u w:val="single"/>
        </w:rPr>
        <w:t>Organizations</w:t>
      </w:r>
      <w:r w:rsidR="001A5E13">
        <w:rPr>
          <w:rFonts w:cs="Calibri"/>
          <w:b/>
          <w:bCs/>
          <w:u w:val="single"/>
        </w:rPr>
        <w:t xml:space="preserve"> Eligible for Subgrants</w:t>
      </w:r>
    </w:p>
    <w:p w14:paraId="7DFFEE7E" w14:textId="7C9202FE" w:rsidR="007A75F2" w:rsidRDefault="007A75F2" w:rsidP="007A75F2">
      <w:pPr>
        <w:spacing w:after="0" w:line="259" w:lineRule="auto"/>
        <w:rPr>
          <w:rFonts w:cs="Calibri"/>
        </w:rPr>
      </w:pPr>
      <w:r w:rsidRPr="00DB4015">
        <w:rPr>
          <w:rFonts w:cs="Calibri"/>
        </w:rPr>
        <w:t xml:space="preserve">The </w:t>
      </w:r>
      <w:r w:rsidR="008F0ABE">
        <w:rPr>
          <w:rFonts w:cs="Calibri"/>
        </w:rPr>
        <w:t xml:space="preserve">Subgrantee’s </w:t>
      </w:r>
      <w:r w:rsidR="00B63D9F">
        <w:rPr>
          <w:rFonts w:cs="Calibri"/>
        </w:rPr>
        <w:t>project must primar</w:t>
      </w:r>
      <w:r w:rsidR="00334686">
        <w:rPr>
          <w:rFonts w:cs="Calibri"/>
        </w:rPr>
        <w:t xml:space="preserve">ily </w:t>
      </w:r>
      <w:r w:rsidR="00B63D9F">
        <w:rPr>
          <w:rFonts w:cs="Calibri"/>
        </w:rPr>
        <w:t xml:space="preserve">benefit </w:t>
      </w:r>
      <w:r w:rsidRPr="00DB4015">
        <w:rPr>
          <w:rFonts w:cs="Calibri"/>
        </w:rPr>
        <w:t>the </w:t>
      </w:r>
      <w:hyperlink r:id="rId14" w:tgtFrame="_blank" w:history="1">
        <w:r w:rsidRPr="00572FD2">
          <w:rPr>
            <w:rStyle w:val="Hyperlink"/>
            <w:rFonts w:cs="Calibri"/>
            <w:color w:val="0000FF"/>
          </w:rPr>
          <w:t>MFH service area</w:t>
        </w:r>
      </w:hyperlink>
      <w:r w:rsidR="008B69DD">
        <w:rPr>
          <w:rStyle w:val="Hyperlink"/>
          <w:rFonts w:cs="Calibri"/>
          <w:color w:val="0000FF"/>
        </w:rPr>
        <w:t>,</w:t>
      </w:r>
      <w:r w:rsidR="00825863" w:rsidRPr="00825863">
        <w:rPr>
          <w:rFonts w:cs="Calibri"/>
        </w:rPr>
        <w:t xml:space="preserve"> must be in good standing with the</w:t>
      </w:r>
      <w:r w:rsidR="00E20610">
        <w:rPr>
          <w:rFonts w:cs="Calibri"/>
        </w:rPr>
        <w:t xml:space="preserve"> </w:t>
      </w:r>
      <w:hyperlink r:id="rId15" w:anchor="entity:~:text=II.%20Nonprofit%20Corporations" w:history="1">
        <w:r w:rsidR="00E20610">
          <w:rPr>
            <w:rStyle w:val="Hyperlink"/>
            <w:rFonts w:cs="Calibri"/>
          </w:rPr>
          <w:t>State of Missouri</w:t>
        </w:r>
      </w:hyperlink>
      <w:r w:rsidR="008B69DD">
        <w:rPr>
          <w:rFonts w:cs="Calibri"/>
        </w:rPr>
        <w:t>,</w:t>
      </w:r>
      <w:r w:rsidR="00825863" w:rsidRPr="00825863">
        <w:rPr>
          <w:rFonts w:cs="Calibri"/>
        </w:rPr>
        <w:t xml:space="preserve"> and abide by MFH’s </w:t>
      </w:r>
      <w:hyperlink r:id="rId16" w:anchor="discrimination" w:history="1">
        <w:r w:rsidR="00825863" w:rsidRPr="00825863">
          <w:rPr>
            <w:rStyle w:val="Hyperlink"/>
            <w:rFonts w:cs="Calibri"/>
          </w:rPr>
          <w:t>Non-Discrimination Policy</w:t>
        </w:r>
      </w:hyperlink>
      <w:r w:rsidR="00825863" w:rsidRPr="00825863">
        <w:rPr>
          <w:rFonts w:cs="Calibri"/>
        </w:rPr>
        <w:t>.</w:t>
      </w:r>
      <w:r w:rsidRPr="00DB4015">
        <w:rPr>
          <w:rFonts w:cs="Calibri"/>
        </w:rPr>
        <w:t xml:space="preserve"> The following types of organizations are eligible </w:t>
      </w:r>
      <w:r>
        <w:rPr>
          <w:rFonts w:cs="Calibri"/>
        </w:rPr>
        <w:t>for MFH subgrants:</w:t>
      </w:r>
    </w:p>
    <w:p w14:paraId="5E6D49AA" w14:textId="77777777" w:rsidR="007A75F2" w:rsidRPr="0082231A" w:rsidRDefault="007A75F2" w:rsidP="007A75F2">
      <w:pPr>
        <w:numPr>
          <w:ilvl w:val="0"/>
          <w:numId w:val="15"/>
        </w:numPr>
        <w:spacing w:after="0" w:line="259" w:lineRule="auto"/>
        <w:rPr>
          <w:rFonts w:cs="Calibri"/>
        </w:rPr>
      </w:pPr>
      <w:r>
        <w:rPr>
          <w:rFonts w:cs="Calibri"/>
        </w:rPr>
        <w:t xml:space="preserve">Organizations </w:t>
      </w:r>
      <w:r w:rsidRPr="0082231A">
        <w:rPr>
          <w:rFonts w:cs="Calibri"/>
        </w:rPr>
        <w:t>granted tax-exempt status under provisions of Sections 501(c) of the Internal Revenue Service Code</w:t>
      </w:r>
    </w:p>
    <w:p w14:paraId="21AFDC32" w14:textId="77777777" w:rsidR="007A75F2" w:rsidRDefault="007A75F2" w:rsidP="007A75F2">
      <w:pPr>
        <w:numPr>
          <w:ilvl w:val="0"/>
          <w:numId w:val="15"/>
        </w:numPr>
        <w:spacing w:after="0" w:line="259" w:lineRule="auto"/>
        <w:rPr>
          <w:rFonts w:cs="Calibri"/>
        </w:rPr>
      </w:pPr>
      <w:r w:rsidRPr="0082231A">
        <w:rPr>
          <w:rFonts w:cs="Calibri"/>
        </w:rPr>
        <w:t>State or local government agencies, including educational institutions, and branches of the federal government serving Missouri</w:t>
      </w:r>
    </w:p>
    <w:p w14:paraId="729F310B" w14:textId="77777777" w:rsidR="007A75F2" w:rsidRDefault="007A75F2" w:rsidP="007A75F2">
      <w:pPr>
        <w:spacing w:after="0" w:line="259" w:lineRule="auto"/>
        <w:rPr>
          <w:bCs/>
          <w:iCs/>
        </w:rPr>
      </w:pPr>
    </w:p>
    <w:p w14:paraId="7FB9117D" w14:textId="77777777" w:rsidR="00EB6E4A" w:rsidRPr="00421A87" w:rsidRDefault="00EB6E4A" w:rsidP="00572FD2">
      <w:pPr>
        <w:pStyle w:val="MediumGrid1-Accent21"/>
        <w:spacing w:line="259" w:lineRule="auto"/>
        <w:ind w:left="0"/>
        <w:rPr>
          <w:b/>
          <w:u w:val="single"/>
        </w:rPr>
      </w:pPr>
      <w:r w:rsidRPr="00421A87">
        <w:rPr>
          <w:b/>
          <w:u w:val="single"/>
        </w:rPr>
        <w:t xml:space="preserve">Use of Funds </w:t>
      </w:r>
    </w:p>
    <w:p w14:paraId="79E0D9B3" w14:textId="77777777" w:rsidR="00DB4015" w:rsidRDefault="00DB4015" w:rsidP="00572FD2">
      <w:pPr>
        <w:spacing w:after="0" w:line="259" w:lineRule="auto"/>
        <w:rPr>
          <w:rFonts w:cs="Calibri"/>
        </w:rPr>
      </w:pPr>
      <w:r>
        <w:rPr>
          <w:rFonts w:cs="Calibri"/>
        </w:rPr>
        <w:t xml:space="preserve">Partners </w:t>
      </w:r>
      <w:r w:rsidRPr="00421A87">
        <w:rPr>
          <w:rFonts w:cs="Calibri"/>
        </w:rPr>
        <w:t>retain full responsibility</w:t>
      </w:r>
      <w:r>
        <w:rPr>
          <w:rFonts w:cs="Calibri"/>
        </w:rPr>
        <w:t xml:space="preserve"> of the subgrants</w:t>
      </w:r>
      <w:r w:rsidRPr="00421A87">
        <w:rPr>
          <w:rFonts w:cs="Calibri"/>
        </w:rPr>
        <w:t>, which includes overseeing the work and</w:t>
      </w:r>
      <w:r>
        <w:rPr>
          <w:rFonts w:cs="Calibri"/>
        </w:rPr>
        <w:t xml:space="preserve"> </w:t>
      </w:r>
      <w:r w:rsidRPr="00421A87">
        <w:rPr>
          <w:rFonts w:cs="Calibri"/>
        </w:rPr>
        <w:t xml:space="preserve">deliverables, and reporting the expenses associated with the </w:t>
      </w:r>
      <w:r>
        <w:rPr>
          <w:rFonts w:cs="Calibri"/>
        </w:rPr>
        <w:t>subgrants.</w:t>
      </w:r>
      <w:r w:rsidR="00424CAD">
        <w:rPr>
          <w:rFonts w:cs="Calibri"/>
        </w:rPr>
        <w:t xml:space="preserve"> MFH funds cannot be used for:</w:t>
      </w:r>
    </w:p>
    <w:p w14:paraId="420C9A71" w14:textId="77777777" w:rsidR="00424CAD" w:rsidRPr="00424CAD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t>Basic biomedical research or research on drug therapies or devices</w:t>
      </w:r>
    </w:p>
    <w:p w14:paraId="788DC8F9" w14:textId="77777777" w:rsidR="00424CAD" w:rsidRPr="00424CAD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t>Lobbying</w:t>
      </w:r>
    </w:p>
    <w:p w14:paraId="7263F62F" w14:textId="00B49A64" w:rsidR="00424CAD" w:rsidRPr="00424CAD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t>Existing operational deficits or programs projected to create a deficit</w:t>
      </w:r>
    </w:p>
    <w:p w14:paraId="7FE8617B" w14:textId="77777777" w:rsidR="00424CAD" w:rsidRPr="00424CAD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lastRenderedPageBreak/>
        <w:t>Fundraising campaigns for the purpose of construction, endowment building or establishing emergency or other types of reserves</w:t>
      </w:r>
    </w:p>
    <w:p w14:paraId="10F0A7FE" w14:textId="77777777" w:rsidR="00424CAD" w:rsidRPr="00424CAD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t>Programs that promote specific religious beliefs or proselytize</w:t>
      </w:r>
    </w:p>
    <w:p w14:paraId="7B697BEF" w14:textId="77777777" w:rsidR="00424CAD" w:rsidRPr="00421A87" w:rsidRDefault="00424CAD" w:rsidP="00572FD2">
      <w:pPr>
        <w:numPr>
          <w:ilvl w:val="0"/>
          <w:numId w:val="17"/>
        </w:numPr>
        <w:spacing w:after="0" w:line="259" w:lineRule="auto"/>
        <w:rPr>
          <w:rFonts w:cs="Calibri"/>
        </w:rPr>
      </w:pPr>
      <w:r w:rsidRPr="00424CAD">
        <w:rPr>
          <w:rFonts w:cs="Calibri"/>
        </w:rPr>
        <w:t>Programs fully funded from other sources</w:t>
      </w:r>
    </w:p>
    <w:p w14:paraId="18C476AA" w14:textId="77777777" w:rsidR="00DB4015" w:rsidRDefault="00DB4015" w:rsidP="00572FD2">
      <w:pPr>
        <w:pStyle w:val="Default"/>
        <w:spacing w:line="259" w:lineRule="auto"/>
        <w:rPr>
          <w:rFonts w:ascii="Calibri" w:hAnsi="Calibri"/>
          <w:sz w:val="22"/>
          <w:szCs w:val="22"/>
        </w:rPr>
      </w:pPr>
    </w:p>
    <w:p w14:paraId="44090E88" w14:textId="77777777" w:rsidR="00316CAD" w:rsidRPr="00AF2B47" w:rsidRDefault="00316CAD" w:rsidP="00572FD2">
      <w:pPr>
        <w:pStyle w:val="MediumGrid1-Accent21"/>
        <w:spacing w:line="259" w:lineRule="auto"/>
        <w:ind w:left="0"/>
        <w:rPr>
          <w:rFonts w:cs="Calibri"/>
          <w:b/>
          <w:u w:val="single"/>
        </w:rPr>
      </w:pPr>
      <w:bookmarkStart w:id="1" w:name="COI"/>
      <w:r w:rsidRPr="00AF2B47">
        <w:rPr>
          <w:rFonts w:cs="Calibri"/>
          <w:b/>
          <w:u w:val="single"/>
        </w:rPr>
        <w:t>Conflicts of Interest</w:t>
      </w:r>
      <w:bookmarkEnd w:id="1"/>
      <w:r w:rsidRPr="00AF2B47">
        <w:rPr>
          <w:rFonts w:cs="Calibri"/>
          <w:b/>
          <w:u w:val="single"/>
        </w:rPr>
        <w:t xml:space="preserve"> </w:t>
      </w:r>
    </w:p>
    <w:p w14:paraId="2A7F48C8" w14:textId="52ABB0F8" w:rsidR="00316CAD" w:rsidRDefault="00316CAD" w:rsidP="00572FD2">
      <w:pPr>
        <w:spacing w:after="0" w:line="259" w:lineRule="auto"/>
      </w:pPr>
      <w:r>
        <w:t xml:space="preserve">Partner must require </w:t>
      </w:r>
      <w:r w:rsidR="00F13D7D">
        <w:t xml:space="preserve">organizations applying for subgrants </w:t>
      </w:r>
      <w:r>
        <w:t xml:space="preserve">to complete and submit </w:t>
      </w:r>
      <w:r w:rsidR="00572FD2">
        <w:t xml:space="preserve">a Conflicts of Interest </w:t>
      </w:r>
      <w:hyperlink r:id="rId17" w:tgtFrame="_blank" w:history="1">
        <w:r w:rsidR="00572FD2">
          <w:rPr>
            <w:rStyle w:val="normaltextrun"/>
            <w:rFonts w:cs="Calibri"/>
            <w:color w:val="0000FF"/>
            <w:u w:val="single"/>
            <w:shd w:val="clear" w:color="auto" w:fill="FFFFFF"/>
          </w:rPr>
          <w:t>disclosure form</w:t>
        </w:r>
      </w:hyperlink>
      <w:r w:rsidR="00572FD2">
        <w:t xml:space="preserve"> at the time of application. </w:t>
      </w:r>
      <w:r>
        <w:t xml:space="preserve">If a conflict of interest is </w:t>
      </w:r>
      <w:r w:rsidR="00572FD2">
        <w:t xml:space="preserve">identified </w:t>
      </w:r>
      <w:r>
        <w:t xml:space="preserve">between an individual affiliated with the </w:t>
      </w:r>
      <w:r w:rsidR="00572FD2">
        <w:t>applicant a</w:t>
      </w:r>
      <w:r>
        <w:t>nd MFH</w:t>
      </w:r>
      <w:r w:rsidR="00572FD2">
        <w:t>, the Partner will notify MFH.</w:t>
      </w:r>
      <w:r w:rsidR="00572FD2" w:rsidRPr="00572FD2">
        <w:t xml:space="preserve"> </w:t>
      </w:r>
      <w:r w:rsidR="00572FD2">
        <w:t xml:space="preserve">All proposals involving conflicts must be approved by the MFH </w:t>
      </w:r>
      <w:r w:rsidR="00E51F76">
        <w:t>B</w:t>
      </w:r>
      <w:r w:rsidR="00572FD2">
        <w:t>oard</w:t>
      </w:r>
      <w:r w:rsidR="000E260E">
        <w:t xml:space="preserve"> of Directors</w:t>
      </w:r>
      <w:r w:rsidR="00572FD2">
        <w:t>. </w:t>
      </w:r>
      <w:r>
        <w:t>In most cases, a conflict of interest does not negatively affect decisions related to funding.</w:t>
      </w:r>
    </w:p>
    <w:p w14:paraId="7017DE2B" w14:textId="1C0EABB3" w:rsidR="00316CAD" w:rsidRDefault="00316CAD" w:rsidP="00572FD2">
      <w:pPr>
        <w:pStyle w:val="Default"/>
        <w:spacing w:line="259" w:lineRule="auto"/>
        <w:rPr>
          <w:rFonts w:ascii="Calibri" w:hAnsi="Calibri" w:cs="Calibri"/>
          <w:sz w:val="22"/>
          <w:szCs w:val="22"/>
        </w:rPr>
      </w:pPr>
    </w:p>
    <w:sectPr w:rsidR="00316CAD" w:rsidSect="00190225">
      <w:headerReference w:type="default" r:id="rId18"/>
      <w:pgSz w:w="12240" w:h="15840" w:code="1"/>
      <w:pgMar w:top="1944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0F74" w14:textId="77777777" w:rsidR="00BD0D19" w:rsidRDefault="00BD0D19" w:rsidP="003F2F95">
      <w:pPr>
        <w:spacing w:after="0" w:line="240" w:lineRule="auto"/>
      </w:pPr>
      <w:r>
        <w:separator/>
      </w:r>
    </w:p>
  </w:endnote>
  <w:endnote w:type="continuationSeparator" w:id="0">
    <w:p w14:paraId="1586979D" w14:textId="77777777" w:rsidR="00BD0D19" w:rsidRDefault="00BD0D19" w:rsidP="003F2F95">
      <w:pPr>
        <w:spacing w:after="0" w:line="240" w:lineRule="auto"/>
      </w:pPr>
      <w:r>
        <w:continuationSeparator/>
      </w:r>
    </w:p>
  </w:endnote>
  <w:endnote w:type="continuationNotice" w:id="1">
    <w:p w14:paraId="48C48974" w14:textId="77777777" w:rsidR="00BD0D19" w:rsidRDefault="00BD0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20303" w14:textId="77777777" w:rsidR="00BD0D19" w:rsidRDefault="00BD0D19" w:rsidP="003F2F95">
      <w:pPr>
        <w:spacing w:after="0" w:line="240" w:lineRule="auto"/>
      </w:pPr>
      <w:r>
        <w:separator/>
      </w:r>
    </w:p>
  </w:footnote>
  <w:footnote w:type="continuationSeparator" w:id="0">
    <w:p w14:paraId="1CCE6EF1" w14:textId="77777777" w:rsidR="00BD0D19" w:rsidRDefault="00BD0D19" w:rsidP="003F2F95">
      <w:pPr>
        <w:spacing w:after="0" w:line="240" w:lineRule="auto"/>
      </w:pPr>
      <w:r>
        <w:continuationSeparator/>
      </w:r>
    </w:p>
  </w:footnote>
  <w:footnote w:type="continuationNotice" w:id="1">
    <w:p w14:paraId="5295C3A7" w14:textId="77777777" w:rsidR="00BD0D19" w:rsidRDefault="00BD0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289" w14:textId="77777777" w:rsidR="00C25E3B" w:rsidRDefault="00000000" w:rsidP="00AE5335">
    <w:pPr>
      <w:pStyle w:val="Header"/>
      <w:jc w:val="center"/>
      <w:rPr>
        <w:b/>
        <w:sz w:val="28"/>
      </w:rPr>
    </w:pPr>
    <w:r>
      <w:rPr>
        <w:noProof/>
      </w:rPr>
      <w:pict w14:anchorId="13202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57.55pt;margin-top:-24.45pt;width:134.65pt;height:57.6pt;z-index:-1;mso-position-horizontal-relative:text;mso-position-vertical-relative:text;mso-width-relative:page;mso-height-relative:page">
          <v:imagedata r:id="rId1" o:title="Untitled"/>
        </v:shape>
      </w:pict>
    </w:r>
    <w:r w:rsidR="00AE5335">
      <w:rPr>
        <w:b/>
        <w:sz w:val="28"/>
      </w:rPr>
      <w:t xml:space="preserve"> </w:t>
    </w:r>
  </w:p>
  <w:p w14:paraId="2206F2C8" w14:textId="20F400C8" w:rsidR="0043389D" w:rsidRPr="0043389D" w:rsidRDefault="0043389D" w:rsidP="00AE5335">
    <w:pPr>
      <w:pStyle w:val="Header"/>
      <w:jc w:val="center"/>
      <w:rPr>
        <w:b/>
        <w:sz w:val="28"/>
      </w:rPr>
    </w:pPr>
    <w:r w:rsidRPr="0043389D">
      <w:rPr>
        <w:b/>
        <w:sz w:val="28"/>
      </w:rPr>
      <w:t>R</w:t>
    </w:r>
    <w:r w:rsidR="003D0A3B">
      <w:rPr>
        <w:b/>
        <w:sz w:val="28"/>
      </w:rPr>
      <w:t>E</w:t>
    </w:r>
    <w:r w:rsidRPr="0043389D">
      <w:rPr>
        <w:b/>
        <w:sz w:val="28"/>
      </w:rPr>
      <w:t>GRANTING</w:t>
    </w:r>
    <w:r w:rsidR="00AE5335">
      <w:rPr>
        <w:b/>
        <w:sz w:val="28"/>
      </w:rPr>
      <w:t xml:space="preserve"> </w:t>
    </w:r>
    <w:r w:rsidR="00C25E3B">
      <w:rPr>
        <w:b/>
        <w:sz w:val="28"/>
      </w:rPr>
      <w:t>GUIDELINES</w:t>
    </w:r>
    <w:r w:rsidR="00EB0470">
      <w:rPr>
        <w:b/>
        <w:sz w:val="28"/>
      </w:rPr>
      <w:t xml:space="preserve"> AND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E9"/>
    <w:multiLevelType w:val="hybridMultilevel"/>
    <w:tmpl w:val="1EF04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63"/>
    <w:multiLevelType w:val="hybridMultilevel"/>
    <w:tmpl w:val="8850DA66"/>
    <w:lvl w:ilvl="0" w:tplc="459833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2A14"/>
    <w:multiLevelType w:val="hybridMultilevel"/>
    <w:tmpl w:val="014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5CE9"/>
    <w:multiLevelType w:val="hybridMultilevel"/>
    <w:tmpl w:val="29087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C3BD5"/>
    <w:multiLevelType w:val="hybridMultilevel"/>
    <w:tmpl w:val="54DE41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3CA6"/>
    <w:multiLevelType w:val="hybridMultilevel"/>
    <w:tmpl w:val="EC0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093"/>
    <w:multiLevelType w:val="hybridMultilevel"/>
    <w:tmpl w:val="5C68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6CEE"/>
    <w:multiLevelType w:val="hybridMultilevel"/>
    <w:tmpl w:val="72CA4D4A"/>
    <w:lvl w:ilvl="0" w:tplc="A4664E6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809"/>
    <w:multiLevelType w:val="hybridMultilevel"/>
    <w:tmpl w:val="C1E04F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35423"/>
    <w:multiLevelType w:val="hybridMultilevel"/>
    <w:tmpl w:val="0C06B2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216CB"/>
    <w:multiLevelType w:val="hybridMultilevel"/>
    <w:tmpl w:val="35183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F19FE"/>
    <w:multiLevelType w:val="hybridMultilevel"/>
    <w:tmpl w:val="B4EC53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57E77"/>
    <w:multiLevelType w:val="hybridMultilevel"/>
    <w:tmpl w:val="04BE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1AE3"/>
    <w:multiLevelType w:val="hybridMultilevel"/>
    <w:tmpl w:val="60C61C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A1CD1"/>
    <w:multiLevelType w:val="hybridMultilevel"/>
    <w:tmpl w:val="86387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D7E60"/>
    <w:multiLevelType w:val="hybridMultilevel"/>
    <w:tmpl w:val="F29CCA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718D8"/>
    <w:multiLevelType w:val="hybridMultilevel"/>
    <w:tmpl w:val="796478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87632"/>
    <w:multiLevelType w:val="hybridMultilevel"/>
    <w:tmpl w:val="8B6883FC"/>
    <w:lvl w:ilvl="0" w:tplc="6F00B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80630"/>
    <w:multiLevelType w:val="hybridMultilevel"/>
    <w:tmpl w:val="90A801AA"/>
    <w:lvl w:ilvl="0" w:tplc="AF6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E2E25"/>
    <w:multiLevelType w:val="hybridMultilevel"/>
    <w:tmpl w:val="11FE7F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D02C31"/>
    <w:multiLevelType w:val="hybridMultilevel"/>
    <w:tmpl w:val="117E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4187"/>
    <w:multiLevelType w:val="hybridMultilevel"/>
    <w:tmpl w:val="3A9A7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E4C41"/>
    <w:multiLevelType w:val="hybridMultilevel"/>
    <w:tmpl w:val="61D0C0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F646B"/>
    <w:multiLevelType w:val="hybridMultilevel"/>
    <w:tmpl w:val="546AD4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5D68D2"/>
    <w:multiLevelType w:val="hybridMultilevel"/>
    <w:tmpl w:val="01EC0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629062">
    <w:abstractNumId w:val="7"/>
  </w:num>
  <w:num w:numId="2" w16cid:durableId="1336305264">
    <w:abstractNumId w:val="1"/>
  </w:num>
  <w:num w:numId="3" w16cid:durableId="315574120">
    <w:abstractNumId w:val="16"/>
  </w:num>
  <w:num w:numId="4" w16cid:durableId="830830508">
    <w:abstractNumId w:val="14"/>
  </w:num>
  <w:num w:numId="5" w16cid:durableId="1225066291">
    <w:abstractNumId w:val="19"/>
  </w:num>
  <w:num w:numId="6" w16cid:durableId="1304970046">
    <w:abstractNumId w:val="11"/>
  </w:num>
  <w:num w:numId="7" w16cid:durableId="1960987525">
    <w:abstractNumId w:val="9"/>
  </w:num>
  <w:num w:numId="8" w16cid:durableId="1651208889">
    <w:abstractNumId w:val="23"/>
  </w:num>
  <w:num w:numId="9" w16cid:durableId="2057731327">
    <w:abstractNumId w:val="22"/>
  </w:num>
  <w:num w:numId="10" w16cid:durableId="281613964">
    <w:abstractNumId w:val="15"/>
  </w:num>
  <w:num w:numId="11" w16cid:durableId="1014265751">
    <w:abstractNumId w:val="0"/>
  </w:num>
  <w:num w:numId="12" w16cid:durableId="680743176">
    <w:abstractNumId w:val="13"/>
  </w:num>
  <w:num w:numId="13" w16cid:durableId="1936553637">
    <w:abstractNumId w:val="21"/>
  </w:num>
  <w:num w:numId="14" w16cid:durableId="2087993370">
    <w:abstractNumId w:val="24"/>
  </w:num>
  <w:num w:numId="15" w16cid:durableId="1612781605">
    <w:abstractNumId w:val="2"/>
  </w:num>
  <w:num w:numId="16" w16cid:durableId="1786996838">
    <w:abstractNumId w:val="6"/>
  </w:num>
  <w:num w:numId="17" w16cid:durableId="1606426181">
    <w:abstractNumId w:val="5"/>
  </w:num>
  <w:num w:numId="18" w16cid:durableId="2024162874">
    <w:abstractNumId w:val="10"/>
  </w:num>
  <w:num w:numId="19" w16cid:durableId="1769888310">
    <w:abstractNumId w:val="3"/>
  </w:num>
  <w:num w:numId="20" w16cid:durableId="462190873">
    <w:abstractNumId w:val="18"/>
  </w:num>
  <w:num w:numId="21" w16cid:durableId="110907884">
    <w:abstractNumId w:val="8"/>
  </w:num>
  <w:num w:numId="22" w16cid:durableId="553977487">
    <w:abstractNumId w:val="12"/>
  </w:num>
  <w:num w:numId="23" w16cid:durableId="1523327076">
    <w:abstractNumId w:val="20"/>
  </w:num>
  <w:num w:numId="24" w16cid:durableId="491720086">
    <w:abstractNumId w:val="4"/>
  </w:num>
  <w:num w:numId="25" w16cid:durableId="5261440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E96"/>
    <w:rsid w:val="0000042F"/>
    <w:rsid w:val="000117E5"/>
    <w:rsid w:val="000332A8"/>
    <w:rsid w:val="00045A33"/>
    <w:rsid w:val="00045E42"/>
    <w:rsid w:val="00052530"/>
    <w:rsid w:val="0005371B"/>
    <w:rsid w:val="00053E86"/>
    <w:rsid w:val="00071D4A"/>
    <w:rsid w:val="00076511"/>
    <w:rsid w:val="00081F62"/>
    <w:rsid w:val="00091BC7"/>
    <w:rsid w:val="0009618F"/>
    <w:rsid w:val="000B35BB"/>
    <w:rsid w:val="000C41DE"/>
    <w:rsid w:val="000C5A49"/>
    <w:rsid w:val="000E260E"/>
    <w:rsid w:val="000E5677"/>
    <w:rsid w:val="00111C3C"/>
    <w:rsid w:val="0011433D"/>
    <w:rsid w:val="0012118B"/>
    <w:rsid w:val="00145FE0"/>
    <w:rsid w:val="0016684A"/>
    <w:rsid w:val="00184465"/>
    <w:rsid w:val="00190225"/>
    <w:rsid w:val="001A5E13"/>
    <w:rsid w:val="001C4591"/>
    <w:rsid w:val="001E69FB"/>
    <w:rsid w:val="001F3265"/>
    <w:rsid w:val="0022157A"/>
    <w:rsid w:val="00245DEC"/>
    <w:rsid w:val="00291114"/>
    <w:rsid w:val="002A42BA"/>
    <w:rsid w:val="002F491A"/>
    <w:rsid w:val="0030347B"/>
    <w:rsid w:val="0031676C"/>
    <w:rsid w:val="00316CAD"/>
    <w:rsid w:val="00334686"/>
    <w:rsid w:val="003360EA"/>
    <w:rsid w:val="003412DE"/>
    <w:rsid w:val="0034294B"/>
    <w:rsid w:val="0037198C"/>
    <w:rsid w:val="00373EA2"/>
    <w:rsid w:val="003B0E5C"/>
    <w:rsid w:val="003C2397"/>
    <w:rsid w:val="003C6FED"/>
    <w:rsid w:val="003D0A3B"/>
    <w:rsid w:val="003E2EEB"/>
    <w:rsid w:val="003F2F95"/>
    <w:rsid w:val="004038DB"/>
    <w:rsid w:val="00403B99"/>
    <w:rsid w:val="004172AC"/>
    <w:rsid w:val="00421A87"/>
    <w:rsid w:val="00424CAD"/>
    <w:rsid w:val="00426A8A"/>
    <w:rsid w:val="0043389D"/>
    <w:rsid w:val="00456499"/>
    <w:rsid w:val="00456EEA"/>
    <w:rsid w:val="004620E4"/>
    <w:rsid w:val="00463A46"/>
    <w:rsid w:val="00494F5B"/>
    <w:rsid w:val="004A3759"/>
    <w:rsid w:val="004D15F2"/>
    <w:rsid w:val="004D3FA5"/>
    <w:rsid w:val="005010C7"/>
    <w:rsid w:val="00505028"/>
    <w:rsid w:val="00533E78"/>
    <w:rsid w:val="00560BB1"/>
    <w:rsid w:val="00572FD2"/>
    <w:rsid w:val="005830D8"/>
    <w:rsid w:val="0058597A"/>
    <w:rsid w:val="005A6802"/>
    <w:rsid w:val="005C74BF"/>
    <w:rsid w:val="005F517D"/>
    <w:rsid w:val="00612E1C"/>
    <w:rsid w:val="00636E88"/>
    <w:rsid w:val="00654286"/>
    <w:rsid w:val="00673E65"/>
    <w:rsid w:val="00683A72"/>
    <w:rsid w:val="006B0EC3"/>
    <w:rsid w:val="006F3188"/>
    <w:rsid w:val="006F5AF0"/>
    <w:rsid w:val="00712CDE"/>
    <w:rsid w:val="007376AD"/>
    <w:rsid w:val="007606CC"/>
    <w:rsid w:val="0078672B"/>
    <w:rsid w:val="00786C61"/>
    <w:rsid w:val="007A75F2"/>
    <w:rsid w:val="007F59F7"/>
    <w:rsid w:val="00820E76"/>
    <w:rsid w:val="0082231A"/>
    <w:rsid w:val="00823009"/>
    <w:rsid w:val="00825863"/>
    <w:rsid w:val="0082744B"/>
    <w:rsid w:val="0082795E"/>
    <w:rsid w:val="00830034"/>
    <w:rsid w:val="008422BB"/>
    <w:rsid w:val="00843394"/>
    <w:rsid w:val="008601A1"/>
    <w:rsid w:val="0086640B"/>
    <w:rsid w:val="008778B9"/>
    <w:rsid w:val="00892194"/>
    <w:rsid w:val="008B51E6"/>
    <w:rsid w:val="008B69DD"/>
    <w:rsid w:val="008D3BAB"/>
    <w:rsid w:val="008F0ABE"/>
    <w:rsid w:val="008F5563"/>
    <w:rsid w:val="00901B80"/>
    <w:rsid w:val="009028B0"/>
    <w:rsid w:val="00911925"/>
    <w:rsid w:val="009133D0"/>
    <w:rsid w:val="00984ACF"/>
    <w:rsid w:val="009B5E02"/>
    <w:rsid w:val="009D13E6"/>
    <w:rsid w:val="009D35D6"/>
    <w:rsid w:val="009E4667"/>
    <w:rsid w:val="009F14E5"/>
    <w:rsid w:val="009F2437"/>
    <w:rsid w:val="00A450D4"/>
    <w:rsid w:val="00A46B22"/>
    <w:rsid w:val="00A55752"/>
    <w:rsid w:val="00A569BB"/>
    <w:rsid w:val="00A57378"/>
    <w:rsid w:val="00A608C4"/>
    <w:rsid w:val="00A67B2E"/>
    <w:rsid w:val="00A7191D"/>
    <w:rsid w:val="00AB41D9"/>
    <w:rsid w:val="00AD4EDB"/>
    <w:rsid w:val="00AD53B1"/>
    <w:rsid w:val="00AE5335"/>
    <w:rsid w:val="00AF2B47"/>
    <w:rsid w:val="00AF38A4"/>
    <w:rsid w:val="00B02B53"/>
    <w:rsid w:val="00B069C6"/>
    <w:rsid w:val="00B12125"/>
    <w:rsid w:val="00B1243F"/>
    <w:rsid w:val="00B24F80"/>
    <w:rsid w:val="00B2695C"/>
    <w:rsid w:val="00B33F50"/>
    <w:rsid w:val="00B4023B"/>
    <w:rsid w:val="00B40641"/>
    <w:rsid w:val="00B43F60"/>
    <w:rsid w:val="00B50A57"/>
    <w:rsid w:val="00B63D9F"/>
    <w:rsid w:val="00B8003A"/>
    <w:rsid w:val="00B83785"/>
    <w:rsid w:val="00B91FB8"/>
    <w:rsid w:val="00BD0D19"/>
    <w:rsid w:val="00BD6923"/>
    <w:rsid w:val="00BE689F"/>
    <w:rsid w:val="00C120B4"/>
    <w:rsid w:val="00C25E3B"/>
    <w:rsid w:val="00C512EE"/>
    <w:rsid w:val="00C552ED"/>
    <w:rsid w:val="00C9278C"/>
    <w:rsid w:val="00C95C19"/>
    <w:rsid w:val="00CA442C"/>
    <w:rsid w:val="00CD27DA"/>
    <w:rsid w:val="00CD4DD2"/>
    <w:rsid w:val="00CE64DA"/>
    <w:rsid w:val="00CE668F"/>
    <w:rsid w:val="00CF7021"/>
    <w:rsid w:val="00D064E1"/>
    <w:rsid w:val="00D07089"/>
    <w:rsid w:val="00D523CB"/>
    <w:rsid w:val="00D65A75"/>
    <w:rsid w:val="00D7719E"/>
    <w:rsid w:val="00DB1241"/>
    <w:rsid w:val="00DB4015"/>
    <w:rsid w:val="00DC6676"/>
    <w:rsid w:val="00DC783B"/>
    <w:rsid w:val="00DD0F2C"/>
    <w:rsid w:val="00DE4B2A"/>
    <w:rsid w:val="00E03471"/>
    <w:rsid w:val="00E20610"/>
    <w:rsid w:val="00E51F76"/>
    <w:rsid w:val="00E60C47"/>
    <w:rsid w:val="00E67E7B"/>
    <w:rsid w:val="00E82E96"/>
    <w:rsid w:val="00E979F6"/>
    <w:rsid w:val="00EB0470"/>
    <w:rsid w:val="00EB6E4A"/>
    <w:rsid w:val="00EC2105"/>
    <w:rsid w:val="00ED6711"/>
    <w:rsid w:val="00ED6925"/>
    <w:rsid w:val="00EE7F4E"/>
    <w:rsid w:val="00F1136E"/>
    <w:rsid w:val="00F13D7D"/>
    <w:rsid w:val="00F20FDC"/>
    <w:rsid w:val="00F315EE"/>
    <w:rsid w:val="00F45B8A"/>
    <w:rsid w:val="00F476E3"/>
    <w:rsid w:val="00F52C0D"/>
    <w:rsid w:val="00F5399C"/>
    <w:rsid w:val="00F57DCD"/>
    <w:rsid w:val="00F74D31"/>
    <w:rsid w:val="00F8740D"/>
    <w:rsid w:val="00FB3E92"/>
    <w:rsid w:val="00FF280F"/>
    <w:rsid w:val="00FF29EE"/>
    <w:rsid w:val="148EA642"/>
    <w:rsid w:val="2534FA49"/>
    <w:rsid w:val="70AC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C7E5B"/>
  <w15:chartTrackingRefBased/>
  <w15:docId w15:val="{A3D7807D-4491-4F65-BA43-2E61C2F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3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E82E96"/>
    <w:pPr>
      <w:spacing w:after="0" w:line="240" w:lineRule="auto"/>
      <w:ind w:left="720"/>
    </w:pPr>
  </w:style>
  <w:style w:type="character" w:styleId="CommentReference">
    <w:name w:val="annotation reference"/>
    <w:uiPriority w:val="99"/>
    <w:semiHidden/>
    <w:unhideWhenUsed/>
    <w:rsid w:val="00790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56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7905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5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56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501"/>
    <w:rPr>
      <w:b/>
      <w:bCs/>
      <w:sz w:val="20"/>
      <w:szCs w:val="20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2F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2F9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2F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2F95"/>
    <w:rPr>
      <w:sz w:val="22"/>
      <w:szCs w:val="22"/>
    </w:rPr>
  </w:style>
  <w:style w:type="character" w:styleId="Hyperlink">
    <w:name w:val="Hyperlink"/>
    <w:unhideWhenUsed/>
    <w:rsid w:val="00421A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B40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72FD2"/>
  </w:style>
  <w:style w:type="paragraph" w:styleId="Revision">
    <w:name w:val="Revision"/>
    <w:hidden/>
    <w:uiPriority w:val="71"/>
    <w:rsid w:val="00CE668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45E42"/>
    <w:rPr>
      <w:color w:val="954F72"/>
      <w:u w:val="single"/>
    </w:rPr>
  </w:style>
  <w:style w:type="character" w:styleId="Mention">
    <w:name w:val="Mention"/>
    <w:uiPriority w:val="99"/>
    <w:unhideWhenUsed/>
    <w:rsid w:val="009B5E0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ffh.org/the-foundation/grantees/funding-guidelin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ffh.org/the-foundation/grantees/funding-guidelines/" TargetMode="External"/><Relationship Id="rId17" Type="http://schemas.openxmlformats.org/officeDocument/2006/relationships/hyperlink" Target="https://mffh.org/wordpress/wp-content/uploads/2019/08/MFH-COI-Disclosure-Gran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ffh.org/the-foundation/partner-resources/funding-guidelin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s.mo.gov/business/corporations/startbusines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ffh.org/the-foundation/where-we-wor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BCC9F0BABE449A141E7A2CEC256FF" ma:contentTypeVersion="19" ma:contentTypeDescription="Create a new document." ma:contentTypeScope="" ma:versionID="628d21adbb788a2edcc624e77252c697">
  <xsd:schema xmlns:xsd="http://www.w3.org/2001/XMLSchema" xmlns:xs="http://www.w3.org/2001/XMLSchema" xmlns:p="http://schemas.microsoft.com/office/2006/metadata/properties" xmlns:ns1="http://schemas.microsoft.com/sharepoint/v3" xmlns:ns2="77eca633-2925-4fbc-9fe7-8513f1fa59bd" xmlns:ns3="e8ffc750-9f57-486d-a2b9-8cfb7b269186" targetNamespace="http://schemas.microsoft.com/office/2006/metadata/properties" ma:root="true" ma:fieldsID="3eb5164812ee0ecbc6c35b1d3e24c797" ns1:_="" ns2:_="" ns3:_="">
    <xsd:import namespace="http://schemas.microsoft.com/sharepoint/v3"/>
    <xsd:import namespace="77eca633-2925-4fbc-9fe7-8513f1fa59bd"/>
    <xsd:import namespace="e8ffc750-9f57-486d-a2b9-8cfb7b269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ca633-2925-4fbc-9fe7-8513f1fa5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47e122e-cac2-4c0e-9612-9d249f63e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750-9f57-486d-a2b9-8cfb7b26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8903e03-e806-4960-ad1f-0277377ea763}" ma:internalName="TaxCatchAll" ma:showField="CatchAllData" ma:web="e8ffc750-9f57-486d-a2b9-8cfb7b269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7eca633-2925-4fbc-9fe7-8513f1fa59bd">
      <Terms xmlns="http://schemas.microsoft.com/office/infopath/2007/PartnerControls"/>
    </lcf76f155ced4ddcb4097134ff3c332f>
    <TaxCatchAll xmlns="e8ffc750-9f57-486d-a2b9-8cfb7b269186" xsi:nil="true"/>
    <SharedWithUsers xmlns="e8ffc750-9f57-486d-a2b9-8cfb7b269186">
      <UserInfo>
        <DisplayName>Daniel Waxler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2DCBC9-761C-4280-9AF6-C4B7B6B1F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6AEE-BC74-490A-98EB-1D6F47155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eca633-2925-4fbc-9fe7-8513f1fa59bd"/>
    <ds:schemaRef ds:uri="e8ffc750-9f57-486d-a2b9-8cfb7b26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0EF9D-3C6D-41F4-92AC-8B186E2AD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D0F5E-0BE8-4183-A5C3-664AFCE08F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C31DAD-D375-4386-A8A9-2C99DBB00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eca633-2925-4fbc-9fe7-8513f1fa59bd"/>
    <ds:schemaRef ds:uri="e8ffc750-9f57-486d-a2b9-8cfb7b269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Catalyst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Singh</dc:creator>
  <cp:keywords/>
  <cp:lastModifiedBy>Deena Lauver Scotti</cp:lastModifiedBy>
  <cp:revision>11</cp:revision>
  <cp:lastPrinted>2015-02-05T15:18:00Z</cp:lastPrinted>
  <dcterms:created xsi:type="dcterms:W3CDTF">2022-09-13T18:05:00Z</dcterms:created>
  <dcterms:modified xsi:type="dcterms:W3CDTF">2023-10-31T16:38:00Z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Daniel Waxler</vt:lpwstr>
  </property>
  <property fmtid="{D5CDD505-2E9C-101B-9397-08002B2CF9AE}" pid="3" name="SharedWithUsers">
    <vt:lpwstr>12;#Daniel Waxler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ContentTypeId">
    <vt:lpwstr>0x010100956BCC9F0BABE449A141E7A2CEC256FF</vt:lpwstr>
  </property>
  <property fmtid="{D5CDD505-2E9C-101B-9397-08002B2CF9AE}" pid="7" name="MediaServiceImageTags">
    <vt:lpwstr/>
  </property>
</Properties>
</file>